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D2" w:rsidRPr="009A06D2" w:rsidRDefault="00BF1715" w:rsidP="009A06D2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365F91" w:themeColor="accent1" w:themeShade="BF"/>
          <w:sz w:val="28"/>
          <w:szCs w:val="28"/>
        </w:rPr>
      </w:pPr>
      <w:r w:rsidRPr="009A06D2">
        <w:rPr>
          <w:rFonts w:ascii="Arial" w:hAnsi="Arial" w:cs="Arial"/>
          <w:b/>
          <w:color w:val="365F91" w:themeColor="accent1" w:themeShade="BF"/>
          <w:sz w:val="28"/>
          <w:szCs w:val="28"/>
        </w:rPr>
        <w:t>Stanovisko Rady pro výzkum, vývoj a inovace k</w:t>
      </w:r>
      <w:r w:rsidR="009A06D2" w:rsidRPr="009A06D2">
        <w:rPr>
          <w:rFonts w:ascii="Arial" w:hAnsi="Arial" w:cs="Arial"/>
          <w:b/>
          <w:color w:val="365F91" w:themeColor="accent1" w:themeShade="BF"/>
          <w:sz w:val="28"/>
          <w:szCs w:val="28"/>
        </w:rPr>
        <w:t> </w:t>
      </w:r>
      <w:r w:rsidR="009A06D2">
        <w:rPr>
          <w:rFonts w:ascii="Arial" w:hAnsi="Arial" w:cs="Arial"/>
          <w:b/>
          <w:color w:val="365F91" w:themeColor="accent1" w:themeShade="BF"/>
          <w:sz w:val="28"/>
          <w:szCs w:val="28"/>
        </w:rPr>
        <w:t>P</w:t>
      </w:r>
      <w:r w:rsidR="009A06D2" w:rsidRPr="009A06D2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růběžnému hodnocení Koncepce obranného aplikovaného výzkumu, vývoje a inovací na období 2016 </w:t>
      </w:r>
      <w:r w:rsidR="009A06D2">
        <w:rPr>
          <w:rFonts w:ascii="Arial" w:hAnsi="Arial" w:cs="Arial"/>
          <w:b/>
          <w:color w:val="365F91" w:themeColor="accent1" w:themeShade="BF"/>
          <w:sz w:val="28"/>
          <w:szCs w:val="28"/>
        </w:rPr>
        <w:t>–</w:t>
      </w:r>
      <w:r w:rsidR="009A06D2" w:rsidRPr="009A06D2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 2022</w:t>
      </w:r>
    </w:p>
    <w:p w:rsidR="001C761F" w:rsidRPr="009A06D2" w:rsidRDefault="001C761F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9A06D2">
        <w:rPr>
          <w:rFonts w:ascii="Arial" w:hAnsi="Arial" w:cs="Arial"/>
          <w:b/>
          <w:color w:val="365F91" w:themeColor="accent1" w:themeShade="BF"/>
        </w:rPr>
        <w:t xml:space="preserve">Způsob předložení a projednání dokumentu: </w:t>
      </w:r>
    </w:p>
    <w:p w:rsidR="008317FC" w:rsidRPr="009A06D2" w:rsidRDefault="008317FC" w:rsidP="00E70D66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9A06D2">
        <w:rPr>
          <w:rFonts w:ascii="Arial" w:eastAsiaTheme="minorHAnsi" w:hAnsi="Arial" w:cs="Arial"/>
          <w:color w:val="000000"/>
          <w:lang w:eastAsia="en-US"/>
        </w:rPr>
        <w:t>Průběžn</w:t>
      </w:r>
      <w:r w:rsidR="009A06D2">
        <w:rPr>
          <w:rFonts w:ascii="Arial" w:eastAsiaTheme="minorHAnsi" w:hAnsi="Arial" w:cs="Arial"/>
          <w:color w:val="000000"/>
          <w:lang w:eastAsia="en-US"/>
        </w:rPr>
        <w:t>é hodnocení</w:t>
      </w:r>
      <w:r w:rsidRPr="009A06D2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Koncepce </w:t>
      </w:r>
      <w:r w:rsidR="009A06D2" w:rsidRPr="009A06D2">
        <w:rPr>
          <w:rFonts w:ascii="Arial" w:eastAsiaTheme="minorHAnsi" w:hAnsi="Arial" w:cs="Arial"/>
          <w:iCs/>
          <w:color w:val="000000"/>
          <w:lang w:eastAsia="en-US"/>
        </w:rPr>
        <w:t>obranného aplikovaného výzkumu,</w:t>
      </w:r>
      <w:r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 vývoje a</w:t>
      </w:r>
      <w:r w:rsidR="009A06D2" w:rsidRPr="009A06D2">
        <w:rPr>
          <w:rFonts w:ascii="Arial" w:eastAsiaTheme="minorHAnsi" w:hAnsi="Arial" w:cs="Arial"/>
          <w:iCs/>
          <w:color w:val="000000"/>
          <w:lang w:eastAsia="en-US"/>
        </w:rPr>
        <w:t> </w:t>
      </w:r>
      <w:r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inovací na </w:t>
      </w:r>
      <w:r w:rsidR="009A06D2" w:rsidRPr="009A06D2">
        <w:rPr>
          <w:rFonts w:ascii="Arial" w:eastAsiaTheme="minorHAnsi" w:hAnsi="Arial" w:cs="Arial"/>
          <w:iCs/>
          <w:color w:val="000000"/>
          <w:lang w:eastAsia="en-US"/>
        </w:rPr>
        <w:t>období</w:t>
      </w:r>
      <w:r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 2016 – 2022 </w:t>
      </w:r>
      <w:r w:rsidR="000F4186" w:rsidRPr="009A06D2">
        <w:rPr>
          <w:rFonts w:ascii="Arial" w:eastAsiaTheme="minorHAnsi" w:hAnsi="Arial" w:cs="Arial"/>
          <w:iCs/>
          <w:color w:val="000000"/>
          <w:lang w:eastAsia="en-US"/>
        </w:rPr>
        <w:t>(dále jen „Průběžn</w:t>
      </w:r>
      <w:r w:rsidR="009A06D2">
        <w:rPr>
          <w:rFonts w:ascii="Arial" w:eastAsiaTheme="minorHAnsi" w:hAnsi="Arial" w:cs="Arial"/>
          <w:iCs/>
          <w:color w:val="000000"/>
          <w:lang w:eastAsia="en-US"/>
        </w:rPr>
        <w:t>é hodnocení</w:t>
      </w:r>
      <w:r w:rsidR="001C761F" w:rsidRPr="009A06D2">
        <w:rPr>
          <w:rFonts w:ascii="Arial" w:eastAsiaTheme="minorHAnsi" w:hAnsi="Arial" w:cs="Arial"/>
          <w:iCs/>
          <w:color w:val="000000"/>
          <w:lang w:eastAsia="en-US"/>
        </w:rPr>
        <w:t>“</w:t>
      </w:r>
      <w:r w:rsidR="000F4186"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) </w:t>
      </w:r>
      <w:r w:rsidRPr="009A06D2">
        <w:rPr>
          <w:rFonts w:ascii="Arial" w:eastAsiaTheme="minorHAnsi" w:hAnsi="Arial" w:cs="Arial"/>
          <w:iCs/>
          <w:color w:val="000000"/>
          <w:lang w:eastAsia="en-US"/>
        </w:rPr>
        <w:t>zaslal Radě pro</w:t>
      </w:r>
      <w:r w:rsidR="001C761F" w:rsidRPr="009A06D2">
        <w:rPr>
          <w:rFonts w:ascii="Arial" w:eastAsiaTheme="minorHAnsi" w:hAnsi="Arial" w:cs="Arial"/>
          <w:iCs/>
          <w:color w:val="000000"/>
          <w:lang w:eastAsia="en-US"/>
        </w:rPr>
        <w:t> </w:t>
      </w:r>
      <w:r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výzkum, vývoj a inovace </w:t>
      </w:r>
      <w:r w:rsidR="001C761F"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(dále jen „Rada“) </w:t>
      </w:r>
      <w:r w:rsidRPr="009A06D2">
        <w:rPr>
          <w:rFonts w:ascii="Arial" w:eastAsiaTheme="minorHAnsi" w:hAnsi="Arial" w:cs="Arial"/>
          <w:iCs/>
          <w:color w:val="000000"/>
          <w:lang w:eastAsia="en-US"/>
        </w:rPr>
        <w:t>ke stanovisku dopisem ze</w:t>
      </w:r>
      <w:r w:rsidR="001C761F" w:rsidRPr="009A06D2">
        <w:rPr>
          <w:rFonts w:ascii="Arial" w:eastAsiaTheme="minorHAnsi" w:hAnsi="Arial" w:cs="Arial"/>
          <w:iCs/>
          <w:color w:val="000000"/>
          <w:lang w:eastAsia="en-US"/>
        </w:rPr>
        <w:t> </w:t>
      </w:r>
      <w:r w:rsidRPr="009A06D2">
        <w:rPr>
          <w:rFonts w:ascii="Arial" w:eastAsiaTheme="minorHAnsi" w:hAnsi="Arial" w:cs="Arial"/>
          <w:iCs/>
          <w:color w:val="000000"/>
          <w:lang w:eastAsia="en-US"/>
        </w:rPr>
        <w:t>dne</w:t>
      </w:r>
      <w:r w:rsidR="009A06D2"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 18. </w:t>
      </w:r>
      <w:r w:rsidR="00CA20B0">
        <w:rPr>
          <w:rFonts w:ascii="Arial" w:eastAsiaTheme="minorHAnsi" w:hAnsi="Arial" w:cs="Arial"/>
          <w:iCs/>
          <w:color w:val="000000"/>
          <w:lang w:eastAsia="en-US"/>
        </w:rPr>
        <w:t>ř</w:t>
      </w:r>
      <w:r w:rsidR="009A06D2"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íjna 2019 </w:t>
      </w:r>
      <w:r w:rsidR="00CA20B0" w:rsidRPr="009A06D2">
        <w:rPr>
          <w:rFonts w:ascii="Arial" w:eastAsiaTheme="minorHAnsi" w:hAnsi="Arial" w:cs="Arial"/>
          <w:iCs/>
          <w:color w:val="000000"/>
          <w:lang w:eastAsia="en-US"/>
        </w:rPr>
        <w:t>č.</w:t>
      </w:r>
      <w:r w:rsidR="009376EC">
        <w:rPr>
          <w:rFonts w:ascii="Arial" w:eastAsiaTheme="minorHAnsi" w:hAnsi="Arial" w:cs="Arial"/>
          <w:iCs/>
          <w:color w:val="000000"/>
          <w:lang w:eastAsia="en-US"/>
        </w:rPr>
        <w:t> </w:t>
      </w:r>
      <w:r w:rsidR="00CA20B0" w:rsidRPr="009A06D2">
        <w:rPr>
          <w:rFonts w:ascii="Arial" w:eastAsiaTheme="minorHAnsi" w:hAnsi="Arial" w:cs="Arial"/>
          <w:iCs/>
          <w:color w:val="000000"/>
          <w:lang w:eastAsia="en-US"/>
        </w:rPr>
        <w:t>j.</w:t>
      </w:r>
      <w:r w:rsidR="009376EC">
        <w:rPr>
          <w:rFonts w:ascii="Arial" w:eastAsiaTheme="minorHAnsi" w:hAnsi="Arial" w:cs="Arial"/>
          <w:iCs/>
          <w:color w:val="000000"/>
          <w:lang w:eastAsia="en-US"/>
        </w:rPr>
        <w:t> </w:t>
      </w:r>
      <w:r w:rsidR="009A06D2"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34228/2019-UVCR zástupce náměstka pro řízení </w:t>
      </w:r>
      <w:r w:rsidR="00CA20B0">
        <w:rPr>
          <w:rFonts w:ascii="Arial" w:eastAsiaTheme="minorHAnsi" w:hAnsi="Arial" w:cs="Arial"/>
          <w:iCs/>
          <w:color w:val="000000"/>
          <w:lang w:eastAsia="en-US"/>
        </w:rPr>
        <w:t>S</w:t>
      </w:r>
      <w:r w:rsidR="009A06D2" w:rsidRPr="009A06D2">
        <w:rPr>
          <w:rFonts w:ascii="Arial" w:eastAsiaTheme="minorHAnsi" w:hAnsi="Arial" w:cs="Arial"/>
          <w:iCs/>
          <w:color w:val="000000"/>
          <w:lang w:eastAsia="en-US"/>
        </w:rPr>
        <w:t>ekce obranné politiky a</w:t>
      </w:r>
      <w:r w:rsidR="009376EC">
        <w:rPr>
          <w:rFonts w:ascii="Arial" w:eastAsiaTheme="minorHAnsi" w:hAnsi="Arial" w:cs="Arial"/>
          <w:iCs/>
          <w:color w:val="000000"/>
          <w:lang w:eastAsia="en-US"/>
        </w:rPr>
        <w:t> </w:t>
      </w:r>
      <w:r w:rsidR="009A06D2"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strategie Ministerstva obrany </w:t>
      </w:r>
      <w:r w:rsidR="0018168A">
        <w:rPr>
          <w:rFonts w:ascii="Arial" w:eastAsiaTheme="minorHAnsi" w:hAnsi="Arial" w:cs="Arial"/>
          <w:iCs/>
          <w:color w:val="000000"/>
          <w:lang w:eastAsia="en-US"/>
        </w:rPr>
        <w:t xml:space="preserve">(dále jen „MO“) </w:t>
      </w:r>
      <w:r w:rsidR="009A06D2" w:rsidRPr="009A06D2">
        <w:rPr>
          <w:rFonts w:ascii="Arial" w:eastAsiaTheme="minorHAnsi" w:hAnsi="Arial" w:cs="Arial"/>
          <w:iCs/>
          <w:color w:val="000000"/>
          <w:lang w:eastAsia="en-US"/>
        </w:rPr>
        <w:t xml:space="preserve">Ing. Radomír Jahoda, </w:t>
      </w:r>
      <w:proofErr w:type="spellStart"/>
      <w:r w:rsidR="009A06D2" w:rsidRPr="009A06D2">
        <w:rPr>
          <w:rFonts w:ascii="Arial" w:eastAsiaTheme="minorHAnsi" w:hAnsi="Arial" w:cs="Arial"/>
          <w:iCs/>
          <w:color w:val="000000"/>
          <w:lang w:eastAsia="en-US"/>
        </w:rPr>
        <w:t>MSc</w:t>
      </w:r>
      <w:proofErr w:type="spellEnd"/>
      <w:r w:rsidR="009A06D2" w:rsidRPr="009A06D2">
        <w:rPr>
          <w:rFonts w:ascii="Arial" w:eastAsiaTheme="minorHAnsi" w:hAnsi="Arial" w:cs="Arial"/>
          <w:iCs/>
          <w:color w:val="000000"/>
          <w:lang w:eastAsia="en-US"/>
        </w:rPr>
        <w:t>.</w:t>
      </w:r>
      <w:r w:rsidRPr="009A06D2">
        <w:rPr>
          <w:rFonts w:ascii="Arial" w:eastAsiaTheme="minorHAnsi" w:hAnsi="Arial" w:cs="Arial"/>
          <w:color w:val="000000"/>
          <w:lang w:eastAsia="en-US"/>
        </w:rPr>
        <w:t xml:space="preserve"> </w:t>
      </w:r>
    </w:p>
    <w:p w:rsidR="008317FC" w:rsidRPr="00CA20B0" w:rsidRDefault="008317FC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CA20B0">
        <w:rPr>
          <w:rFonts w:ascii="Arial" w:hAnsi="Arial" w:cs="Arial"/>
          <w:b/>
          <w:color w:val="365F91" w:themeColor="accent1" w:themeShade="BF"/>
        </w:rPr>
        <w:t>Důvod předložení</w:t>
      </w:r>
    </w:p>
    <w:p w:rsidR="000729A4" w:rsidRPr="000729A4" w:rsidRDefault="000729A4" w:rsidP="006712A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0729A4">
        <w:rPr>
          <w:rFonts w:ascii="Arial" w:eastAsiaTheme="minorHAnsi" w:hAnsi="Arial" w:cs="Arial"/>
          <w:iCs/>
          <w:color w:val="000000"/>
          <w:lang w:eastAsia="en-US"/>
        </w:rPr>
        <w:t xml:space="preserve">Koncepce obranného aplikovaného výzkumu, vývoje a inovací na období 2016 – 2022 (Dále jen „Koncepce 22“) byla schválena </w:t>
      </w:r>
      <w:r w:rsidR="00CA20B0" w:rsidRPr="000729A4">
        <w:rPr>
          <w:rFonts w:ascii="Arial" w:eastAsiaTheme="minorHAnsi" w:hAnsi="Arial" w:cs="Arial"/>
          <w:iCs/>
          <w:color w:val="000000"/>
          <w:lang w:eastAsia="en-US"/>
        </w:rPr>
        <w:t>usnesením vlády ze dne 21. března 2016 č. </w:t>
      </w:r>
      <w:r w:rsidR="00E70D66" w:rsidRPr="000729A4">
        <w:rPr>
          <w:rFonts w:ascii="Arial" w:eastAsiaTheme="minorHAnsi" w:hAnsi="Arial" w:cs="Arial"/>
          <w:iCs/>
          <w:color w:val="000000"/>
          <w:lang w:eastAsia="en-US"/>
        </w:rPr>
        <w:t>246</w:t>
      </w:r>
      <w:r w:rsidRPr="000729A4">
        <w:rPr>
          <w:rFonts w:ascii="Arial" w:eastAsiaTheme="minorHAnsi" w:hAnsi="Arial" w:cs="Arial"/>
          <w:iCs/>
          <w:color w:val="000000"/>
          <w:lang w:eastAsia="en-US"/>
        </w:rPr>
        <w:t xml:space="preserve">. </w:t>
      </w:r>
      <w:r w:rsidR="00E70D66" w:rsidRPr="000729A4">
        <w:rPr>
          <w:rFonts w:ascii="Arial" w:eastAsiaTheme="minorHAnsi" w:hAnsi="Arial" w:cs="Arial"/>
          <w:iCs/>
          <w:color w:val="000000"/>
          <w:lang w:eastAsia="en-US"/>
        </w:rPr>
        <w:t> </w:t>
      </w:r>
      <w:r w:rsidRPr="000729A4">
        <w:rPr>
          <w:rFonts w:ascii="Arial" w:eastAsiaTheme="minorHAnsi" w:hAnsi="Arial" w:cs="Arial"/>
          <w:iCs/>
          <w:color w:val="000000"/>
          <w:lang w:eastAsia="en-US"/>
        </w:rPr>
        <w:t xml:space="preserve"> V</w:t>
      </w:r>
      <w:r w:rsidR="003D64E8">
        <w:rPr>
          <w:rFonts w:ascii="Arial" w:eastAsiaTheme="minorHAnsi" w:hAnsi="Arial" w:cs="Arial"/>
          <w:iCs/>
          <w:color w:val="000000"/>
          <w:lang w:eastAsia="en-US"/>
        </w:rPr>
        <w:t> části 7 Koncepce 22</w:t>
      </w:r>
      <w:r w:rsidRPr="000729A4">
        <w:rPr>
          <w:rFonts w:ascii="Arial" w:eastAsiaTheme="minorHAnsi" w:hAnsi="Arial" w:cs="Arial"/>
          <w:iCs/>
          <w:color w:val="000000"/>
          <w:lang w:eastAsia="en-US"/>
        </w:rPr>
        <w:t xml:space="preserve"> bylo stanoveno, že průběžné hodnocení bude předloženo vládě do </w:t>
      </w:r>
      <w:r w:rsidRPr="000729A4">
        <w:rPr>
          <w:rFonts w:ascii="Arial" w:eastAsiaTheme="minorHAnsi" w:hAnsi="Arial" w:cs="Arial"/>
          <w:color w:val="00000A"/>
          <w:lang w:eastAsia="en-US"/>
        </w:rPr>
        <w:t>30. listopadu 2019 (záv</w:t>
      </w:r>
      <w:r w:rsidRPr="000729A4">
        <w:rPr>
          <w:rFonts w:ascii="Arial" w:eastAsia="TimesNewRoman-OneByteIdentityH" w:hAnsi="Arial" w:cs="Arial"/>
          <w:color w:val="00000A"/>
          <w:lang w:eastAsia="en-US"/>
        </w:rPr>
        <w:t>ě</w:t>
      </w:r>
      <w:r w:rsidRPr="000729A4">
        <w:rPr>
          <w:rFonts w:ascii="Arial" w:eastAsiaTheme="minorHAnsi" w:hAnsi="Arial" w:cs="Arial"/>
          <w:color w:val="00000A"/>
          <w:lang w:eastAsia="en-US"/>
        </w:rPr>
        <w:t>re</w:t>
      </w:r>
      <w:r w:rsidRPr="000729A4">
        <w:rPr>
          <w:rFonts w:ascii="Arial" w:eastAsia="TimesNewRoman-OneByteIdentityH" w:hAnsi="Arial" w:cs="Arial"/>
          <w:color w:val="00000A"/>
          <w:lang w:eastAsia="en-US"/>
        </w:rPr>
        <w:t>č</w:t>
      </w:r>
      <w:r w:rsidRPr="000729A4">
        <w:rPr>
          <w:rFonts w:ascii="Arial" w:eastAsiaTheme="minorHAnsi" w:hAnsi="Arial" w:cs="Arial"/>
          <w:color w:val="00000A"/>
          <w:lang w:eastAsia="en-US"/>
        </w:rPr>
        <w:t xml:space="preserve">né vyhodnocení bude předloženo vládě do 30. </w:t>
      </w:r>
      <w:r w:rsidR="006712AB" w:rsidRPr="000729A4">
        <w:rPr>
          <w:rFonts w:ascii="Arial" w:eastAsiaTheme="minorHAnsi" w:hAnsi="Arial" w:cs="Arial"/>
          <w:color w:val="00000A"/>
          <w:lang w:eastAsia="en-US"/>
        </w:rPr>
        <w:t>listopadu</w:t>
      </w:r>
      <w:r w:rsidRPr="000729A4">
        <w:rPr>
          <w:rFonts w:ascii="Arial" w:eastAsiaTheme="minorHAnsi" w:hAnsi="Arial" w:cs="Arial"/>
          <w:color w:val="00000A"/>
          <w:lang w:eastAsia="en-US"/>
        </w:rPr>
        <w:t xml:space="preserve"> 2022</w:t>
      </w:r>
      <w:r w:rsidR="0018168A">
        <w:rPr>
          <w:rFonts w:ascii="Arial" w:eastAsiaTheme="minorHAnsi" w:hAnsi="Arial" w:cs="Arial"/>
          <w:color w:val="00000A"/>
          <w:lang w:eastAsia="en-US"/>
        </w:rPr>
        <w:t>)</w:t>
      </w:r>
      <w:r w:rsidRPr="000729A4">
        <w:rPr>
          <w:rFonts w:ascii="Arial" w:eastAsiaTheme="minorHAnsi" w:hAnsi="Arial" w:cs="Arial"/>
          <w:color w:val="00000A"/>
          <w:lang w:eastAsia="en-US"/>
        </w:rPr>
        <w:t>.</w:t>
      </w:r>
    </w:p>
    <w:p w:rsidR="009656A7" w:rsidRDefault="009656A7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E70D66">
        <w:rPr>
          <w:rFonts w:ascii="Arial" w:hAnsi="Arial" w:cs="Arial"/>
          <w:b/>
          <w:color w:val="365F91" w:themeColor="accent1" w:themeShade="BF"/>
        </w:rPr>
        <w:t>Obecně k</w:t>
      </w:r>
      <w:r w:rsidR="006712AB">
        <w:rPr>
          <w:rFonts w:ascii="Arial" w:hAnsi="Arial" w:cs="Arial"/>
          <w:b/>
          <w:color w:val="365F91" w:themeColor="accent1" w:themeShade="BF"/>
        </w:rPr>
        <w:t> </w:t>
      </w:r>
      <w:r w:rsidRPr="00E70D66">
        <w:rPr>
          <w:rFonts w:ascii="Arial" w:hAnsi="Arial" w:cs="Arial"/>
          <w:b/>
          <w:color w:val="365F91" w:themeColor="accent1" w:themeShade="BF"/>
        </w:rPr>
        <w:t>materiálu</w:t>
      </w:r>
    </w:p>
    <w:p w:rsidR="00D51EB2" w:rsidRPr="00D51EB2" w:rsidRDefault="00324CCA" w:rsidP="00D51EB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51EB2">
        <w:rPr>
          <w:rFonts w:ascii="Arial" w:hAnsi="Arial" w:cs="Arial"/>
        </w:rPr>
        <w:t xml:space="preserve">Koncepce 22 je orientována na podporu dosažení hlavních cílů výstavby ozbrojených sil ČR. Jedná se o cíle, které mají optimálně zabezpečit plnění aktualizovaných politicko-vojenských ambicí ČR </w:t>
      </w:r>
      <w:r w:rsidRPr="00D51EB2">
        <w:rPr>
          <w:rFonts w:ascii="Arial" w:eastAsiaTheme="minorHAnsi" w:hAnsi="Arial" w:cs="Arial"/>
          <w:color w:val="00000A"/>
          <w:lang w:eastAsia="en-US"/>
        </w:rPr>
        <w:t xml:space="preserve">definovaných v Obranné strategii </w:t>
      </w:r>
      <w:r w:rsidRPr="00D51EB2">
        <w:rPr>
          <w:rFonts w:ascii="Arial" w:eastAsia="TimesNewRoman-OneByteIdentityH" w:hAnsi="Arial" w:cs="Arial"/>
          <w:color w:val="00000A"/>
          <w:lang w:eastAsia="en-US"/>
        </w:rPr>
        <w:t>Č</w:t>
      </w:r>
      <w:r w:rsidRPr="00D51EB2">
        <w:rPr>
          <w:rFonts w:ascii="Arial" w:eastAsiaTheme="minorHAnsi" w:hAnsi="Arial" w:cs="Arial"/>
          <w:color w:val="00000A"/>
          <w:lang w:eastAsia="en-US"/>
        </w:rPr>
        <w:t>R</w:t>
      </w:r>
      <w:r w:rsidR="00D51EB2" w:rsidRPr="00D51EB2">
        <w:rPr>
          <w:rFonts w:ascii="Arial" w:hAnsi="Arial" w:cs="Arial"/>
        </w:rPr>
        <w:t xml:space="preserve">, která byla schválena usnesením vlády ze dne 26. září 2012 č. 699. </w:t>
      </w:r>
    </w:p>
    <w:p w:rsidR="00D51EB2" w:rsidRPr="00D51EB2" w:rsidRDefault="00324CCA" w:rsidP="00D51EB2">
      <w:pPr>
        <w:tabs>
          <w:tab w:val="left" w:pos="709"/>
        </w:tabs>
        <w:spacing w:after="120"/>
        <w:jc w:val="both"/>
        <w:rPr>
          <w:rFonts w:ascii="Arial" w:eastAsiaTheme="minorHAnsi" w:hAnsi="Arial" w:cs="Arial"/>
          <w:color w:val="00000A"/>
          <w:lang w:eastAsia="en-US"/>
        </w:rPr>
      </w:pPr>
      <w:r w:rsidRPr="00D51EB2">
        <w:rPr>
          <w:rFonts w:ascii="Arial" w:eastAsiaTheme="minorHAnsi" w:hAnsi="Arial" w:cs="Arial"/>
          <w:color w:val="00000A"/>
          <w:lang w:eastAsia="en-US"/>
        </w:rPr>
        <w:t xml:space="preserve">Priority Koncepce 22 vycházejí z dlouhodobých koncepcí rozvoje </w:t>
      </w:r>
      <w:r w:rsidR="00D51EB2" w:rsidRPr="00D51EB2">
        <w:rPr>
          <w:rFonts w:ascii="Arial" w:eastAsiaTheme="minorHAnsi" w:hAnsi="Arial" w:cs="Arial"/>
          <w:color w:val="00000A"/>
          <w:lang w:eastAsia="en-US"/>
        </w:rPr>
        <w:t xml:space="preserve">Ozbrojených složek </w:t>
      </w:r>
      <w:r w:rsidR="00D51EB2" w:rsidRPr="00D51EB2">
        <w:rPr>
          <w:rFonts w:ascii="Arial" w:eastAsia="TimesNewRoman-OneByteIdentityH" w:hAnsi="Arial" w:cs="Arial"/>
          <w:color w:val="00000A"/>
          <w:lang w:eastAsia="en-US"/>
        </w:rPr>
        <w:t>Č</w:t>
      </w:r>
      <w:r w:rsidR="00D51EB2" w:rsidRPr="00D51EB2">
        <w:rPr>
          <w:rFonts w:ascii="Arial" w:eastAsiaTheme="minorHAnsi" w:hAnsi="Arial" w:cs="Arial"/>
          <w:color w:val="00000A"/>
          <w:lang w:eastAsia="en-US"/>
        </w:rPr>
        <w:t>R.</w:t>
      </w:r>
      <w:r w:rsidRPr="00D51EB2">
        <w:rPr>
          <w:rFonts w:ascii="Arial" w:eastAsiaTheme="minorHAnsi" w:hAnsi="Arial" w:cs="Arial"/>
          <w:color w:val="00000A"/>
          <w:lang w:eastAsia="en-US"/>
        </w:rPr>
        <w:t xml:space="preserve"> </w:t>
      </w:r>
    </w:p>
    <w:p w:rsidR="00324CCA" w:rsidRPr="00FA77A9" w:rsidRDefault="00324CCA" w:rsidP="00FA77A9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A"/>
          <w:lang w:eastAsia="en-US"/>
        </w:rPr>
      </w:pPr>
      <w:r w:rsidRPr="00FA77A9">
        <w:rPr>
          <w:rFonts w:ascii="Arial" w:eastAsiaTheme="minorHAnsi" w:hAnsi="Arial" w:cs="Arial"/>
          <w:color w:val="00000A"/>
          <w:lang w:eastAsia="en-US"/>
        </w:rPr>
        <w:t>Úloha obranného výzkumu, vývoje a inovací spo</w:t>
      </w:r>
      <w:r w:rsidRPr="00FA77A9">
        <w:rPr>
          <w:rFonts w:ascii="Arial" w:eastAsia="TimesNewRoman-OneByteIdentityH" w:hAnsi="Arial" w:cs="Arial"/>
          <w:color w:val="00000A"/>
          <w:lang w:eastAsia="en-US"/>
        </w:rPr>
        <w:t>č</w:t>
      </w:r>
      <w:r w:rsidRPr="00FA77A9">
        <w:rPr>
          <w:rFonts w:ascii="Arial" w:eastAsiaTheme="minorHAnsi" w:hAnsi="Arial" w:cs="Arial"/>
          <w:color w:val="00000A"/>
          <w:lang w:eastAsia="en-US"/>
        </w:rPr>
        <w:t>ív</w:t>
      </w:r>
      <w:r w:rsidR="00D51EB2" w:rsidRPr="00FA77A9">
        <w:rPr>
          <w:rFonts w:ascii="Arial" w:eastAsiaTheme="minorHAnsi" w:hAnsi="Arial" w:cs="Arial"/>
          <w:color w:val="00000A"/>
          <w:lang w:eastAsia="en-US"/>
        </w:rPr>
        <w:t xml:space="preserve">á jednak ve výzkumu a vývoji </w:t>
      </w:r>
      <w:r w:rsidRPr="00FA77A9">
        <w:rPr>
          <w:rFonts w:ascii="Arial" w:eastAsiaTheme="minorHAnsi" w:hAnsi="Arial" w:cs="Arial"/>
          <w:color w:val="00000A"/>
          <w:lang w:eastAsia="en-US"/>
        </w:rPr>
        <w:t>sm</w:t>
      </w:r>
      <w:r w:rsidRPr="00FA77A9">
        <w:rPr>
          <w:rFonts w:ascii="Arial" w:eastAsia="TimesNewRoman-OneByteIdentityH" w:hAnsi="Arial" w:cs="Arial"/>
          <w:color w:val="00000A"/>
          <w:lang w:eastAsia="en-US"/>
        </w:rPr>
        <w:t>ěř</w:t>
      </w:r>
      <w:r w:rsidRPr="00FA77A9">
        <w:rPr>
          <w:rFonts w:ascii="Arial" w:eastAsiaTheme="minorHAnsi" w:hAnsi="Arial" w:cs="Arial"/>
          <w:color w:val="00000A"/>
          <w:lang w:eastAsia="en-US"/>
        </w:rPr>
        <w:t>ujícímu k získávání zcela nových schopností (technologicky i znalostn</w:t>
      </w:r>
      <w:r w:rsidRPr="00FA77A9">
        <w:rPr>
          <w:rFonts w:ascii="Arial" w:eastAsia="TimesNewRoman-OneByteIdentityH" w:hAnsi="Arial" w:cs="Arial"/>
          <w:color w:val="00000A"/>
          <w:lang w:eastAsia="en-US"/>
        </w:rPr>
        <w:t>ě</w:t>
      </w:r>
      <w:r w:rsidRPr="00FA77A9">
        <w:rPr>
          <w:rFonts w:ascii="Arial" w:eastAsiaTheme="minorHAnsi" w:hAnsi="Arial" w:cs="Arial"/>
          <w:color w:val="00000A"/>
          <w:lang w:eastAsia="en-US"/>
        </w:rPr>
        <w:t>) pot</w:t>
      </w:r>
      <w:r w:rsidRPr="00FA77A9">
        <w:rPr>
          <w:rFonts w:ascii="Arial" w:eastAsia="TimesNewRoman-OneByteIdentityH" w:hAnsi="Arial" w:cs="Arial"/>
          <w:color w:val="00000A"/>
          <w:lang w:eastAsia="en-US"/>
        </w:rPr>
        <w:t>ř</w:t>
      </w:r>
      <w:r w:rsidRPr="00FA77A9">
        <w:rPr>
          <w:rFonts w:ascii="Arial" w:eastAsiaTheme="minorHAnsi" w:hAnsi="Arial" w:cs="Arial"/>
          <w:color w:val="00000A"/>
          <w:lang w:eastAsia="en-US"/>
        </w:rPr>
        <w:t>ebných pro pln</w:t>
      </w:r>
      <w:r w:rsidRPr="00FA77A9">
        <w:rPr>
          <w:rFonts w:ascii="Arial" w:eastAsia="TimesNewRoman-OneByteIdentityH" w:hAnsi="Arial" w:cs="Arial"/>
          <w:color w:val="00000A"/>
          <w:lang w:eastAsia="en-US"/>
        </w:rPr>
        <w:t>ě</w:t>
      </w:r>
      <w:r w:rsidRPr="00FA77A9">
        <w:rPr>
          <w:rFonts w:ascii="Arial" w:eastAsiaTheme="minorHAnsi" w:hAnsi="Arial" w:cs="Arial"/>
          <w:color w:val="00000A"/>
          <w:lang w:eastAsia="en-US"/>
        </w:rPr>
        <w:t>ní</w:t>
      </w:r>
      <w:r w:rsidR="00D51EB2" w:rsidRPr="00FA77A9">
        <w:rPr>
          <w:rFonts w:ascii="Arial" w:eastAsiaTheme="minorHAnsi" w:hAnsi="Arial" w:cs="Arial"/>
          <w:color w:val="00000A"/>
          <w:lang w:eastAsia="en-US"/>
        </w:rPr>
        <w:t xml:space="preserve"> </w:t>
      </w:r>
      <w:r w:rsidRPr="00FA77A9">
        <w:rPr>
          <w:rFonts w:ascii="Arial" w:eastAsiaTheme="minorHAnsi" w:hAnsi="Arial" w:cs="Arial"/>
          <w:color w:val="00000A"/>
          <w:lang w:eastAsia="en-US"/>
        </w:rPr>
        <w:t>úkol</w:t>
      </w:r>
      <w:r w:rsidRPr="00FA77A9">
        <w:rPr>
          <w:rFonts w:ascii="Arial" w:eastAsia="TimesNewRoman-OneByteIdentityH" w:hAnsi="Arial" w:cs="Arial"/>
          <w:color w:val="00000A"/>
          <w:lang w:eastAsia="en-US"/>
        </w:rPr>
        <w:t xml:space="preserve">ů </w:t>
      </w:r>
      <w:r w:rsidRPr="00FA77A9">
        <w:rPr>
          <w:rFonts w:ascii="Arial" w:eastAsiaTheme="minorHAnsi" w:hAnsi="Arial" w:cs="Arial"/>
          <w:color w:val="00000A"/>
          <w:lang w:eastAsia="en-US"/>
        </w:rPr>
        <w:t>A</w:t>
      </w:r>
      <w:r w:rsidR="0018168A">
        <w:rPr>
          <w:rFonts w:ascii="Arial" w:eastAsiaTheme="minorHAnsi" w:hAnsi="Arial" w:cs="Arial"/>
          <w:color w:val="00000A"/>
          <w:lang w:eastAsia="en-US"/>
        </w:rPr>
        <w:t xml:space="preserve">rmády </w:t>
      </w:r>
      <w:r w:rsidRPr="00FA77A9">
        <w:rPr>
          <w:rFonts w:ascii="Arial" w:eastAsia="TimesNewRoman-OneByteIdentityH" w:hAnsi="Arial" w:cs="Arial"/>
          <w:color w:val="00000A"/>
          <w:lang w:eastAsia="en-US"/>
        </w:rPr>
        <w:t>Č</w:t>
      </w:r>
      <w:r w:rsidRPr="00FA77A9">
        <w:rPr>
          <w:rFonts w:ascii="Arial" w:eastAsiaTheme="minorHAnsi" w:hAnsi="Arial" w:cs="Arial"/>
          <w:color w:val="00000A"/>
          <w:lang w:eastAsia="en-US"/>
        </w:rPr>
        <w:t>R, anebo v implementaci interních a i extern</w:t>
      </w:r>
      <w:r w:rsidRPr="00FA77A9">
        <w:rPr>
          <w:rFonts w:ascii="Arial" w:eastAsia="TimesNewRoman-OneByteIdentityH" w:hAnsi="Arial" w:cs="Arial"/>
          <w:color w:val="00000A"/>
          <w:lang w:eastAsia="en-US"/>
        </w:rPr>
        <w:t xml:space="preserve">ě </w:t>
      </w:r>
      <w:r w:rsidRPr="00FA77A9">
        <w:rPr>
          <w:rFonts w:ascii="Arial" w:eastAsiaTheme="minorHAnsi" w:hAnsi="Arial" w:cs="Arial"/>
          <w:color w:val="00000A"/>
          <w:lang w:eastAsia="en-US"/>
        </w:rPr>
        <w:t>získaných technologií a schopností do systému.</w:t>
      </w:r>
    </w:p>
    <w:p w:rsidR="00CE78F6" w:rsidRDefault="00FA77A9" w:rsidP="006712AB">
      <w:pPr>
        <w:pStyle w:val="Tlotextu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CE78F6">
        <w:rPr>
          <w:rFonts w:ascii="Arial" w:hAnsi="Arial" w:cs="Arial"/>
        </w:rPr>
        <w:t>Koncepc</w:t>
      </w:r>
      <w:r>
        <w:rPr>
          <w:rFonts w:ascii="Arial" w:hAnsi="Arial" w:cs="Arial"/>
        </w:rPr>
        <w:t>i</w:t>
      </w:r>
      <w:r w:rsidR="00CE78F6">
        <w:rPr>
          <w:rFonts w:ascii="Arial" w:hAnsi="Arial" w:cs="Arial"/>
        </w:rPr>
        <w:t xml:space="preserve"> 22 byly stanoveny prioritní oblasti obranného </w:t>
      </w:r>
      <w:r w:rsidR="0018168A">
        <w:rPr>
          <w:rFonts w:ascii="Arial" w:hAnsi="Arial" w:cs="Arial"/>
        </w:rPr>
        <w:t>výzkumu, vývoje a inovací</w:t>
      </w:r>
      <w:r w:rsidR="00CE78F6">
        <w:rPr>
          <w:rFonts w:ascii="Arial" w:hAnsi="Arial" w:cs="Arial"/>
        </w:rPr>
        <w:t>:</w:t>
      </w:r>
    </w:p>
    <w:p w:rsidR="00CE78F6" w:rsidRPr="00E87FCC" w:rsidRDefault="00CE78F6" w:rsidP="00E87FCC">
      <w:pPr>
        <w:pStyle w:val="Tlotextu"/>
        <w:numPr>
          <w:ilvl w:val="0"/>
          <w:numId w:val="34"/>
        </w:numPr>
        <w:autoSpaceDE w:val="0"/>
        <w:autoSpaceDN w:val="0"/>
        <w:adjustRightInd w:val="0"/>
        <w:spacing w:before="0" w:after="120"/>
        <w:rPr>
          <w:rFonts w:ascii="Arial" w:hAnsi="Arial" w:cs="Arial"/>
          <w:color w:val="00000A"/>
          <w:lang w:eastAsia="en-US"/>
        </w:rPr>
      </w:pPr>
      <w:r w:rsidRPr="00E87FCC">
        <w:rPr>
          <w:rFonts w:ascii="Arial" w:hAnsi="Arial" w:cs="Arial"/>
          <w:color w:val="00000A"/>
          <w:lang w:eastAsia="en-US"/>
        </w:rPr>
        <w:t xml:space="preserve">Systém velení a </w:t>
      </w:r>
      <w:r w:rsidRPr="00E87FCC">
        <w:rPr>
          <w:rFonts w:ascii="Arial" w:eastAsia="TimesNewRoman-OneByteIdentityH" w:hAnsi="Arial" w:cs="Arial"/>
          <w:color w:val="00000A"/>
          <w:lang w:eastAsia="en-US"/>
        </w:rPr>
        <w:t>ř</w:t>
      </w:r>
      <w:r w:rsidRPr="00E87FCC">
        <w:rPr>
          <w:rFonts w:ascii="Arial" w:hAnsi="Arial" w:cs="Arial"/>
          <w:color w:val="00000A"/>
          <w:lang w:eastAsia="en-US"/>
        </w:rPr>
        <w:t>ízení</w:t>
      </w:r>
      <w:r w:rsidR="00E021D7" w:rsidRPr="00E87FCC">
        <w:rPr>
          <w:rFonts w:ascii="Arial" w:hAnsi="Arial" w:cs="Arial"/>
          <w:color w:val="00000A"/>
          <w:lang w:eastAsia="en-US"/>
        </w:rPr>
        <w:t xml:space="preserve"> (</w:t>
      </w:r>
      <w:r w:rsidRPr="00E87FCC">
        <w:rPr>
          <w:rFonts w:ascii="Arial" w:hAnsi="Arial" w:cs="Arial"/>
          <w:color w:val="00000A"/>
          <w:lang w:eastAsia="en-US"/>
        </w:rPr>
        <w:t>výstavba a rozvoj pln</w:t>
      </w:r>
      <w:r w:rsidRPr="00E87FCC">
        <w:rPr>
          <w:rFonts w:ascii="Arial" w:eastAsia="TimesNewRoman-OneByteIdentityH" w:hAnsi="Arial" w:cs="Arial"/>
          <w:color w:val="00000A"/>
          <w:lang w:eastAsia="en-US"/>
        </w:rPr>
        <w:t xml:space="preserve">ě </w:t>
      </w:r>
      <w:r w:rsidRPr="00E87FCC">
        <w:rPr>
          <w:rFonts w:ascii="Arial" w:hAnsi="Arial" w:cs="Arial"/>
          <w:color w:val="00000A"/>
          <w:lang w:eastAsia="en-US"/>
        </w:rPr>
        <w:t xml:space="preserve">interoperabilního systému velení a </w:t>
      </w:r>
      <w:r w:rsidRPr="00E87FCC">
        <w:rPr>
          <w:rFonts w:ascii="Arial" w:eastAsia="TimesNewRoman-OneByteIdentityH" w:hAnsi="Arial" w:cs="Arial"/>
          <w:color w:val="00000A"/>
          <w:lang w:eastAsia="en-US"/>
        </w:rPr>
        <w:t>ř</w:t>
      </w:r>
      <w:r w:rsidRPr="00E87FCC">
        <w:rPr>
          <w:rFonts w:ascii="Arial" w:hAnsi="Arial" w:cs="Arial"/>
          <w:color w:val="00000A"/>
          <w:lang w:eastAsia="en-US"/>
        </w:rPr>
        <w:t>ízení v</w:t>
      </w:r>
      <w:r w:rsidR="006B5231" w:rsidRPr="00E87FCC">
        <w:rPr>
          <w:rFonts w:ascii="Arial" w:hAnsi="Arial" w:cs="Arial"/>
          <w:color w:val="00000A"/>
          <w:lang w:eastAsia="en-US"/>
        </w:rPr>
        <w:t> </w:t>
      </w:r>
      <w:r w:rsidRPr="00E87FCC">
        <w:rPr>
          <w:rFonts w:ascii="Arial" w:hAnsi="Arial" w:cs="Arial"/>
          <w:color w:val="00000A"/>
          <w:lang w:eastAsia="en-US"/>
        </w:rPr>
        <w:t>souladu</w:t>
      </w:r>
      <w:r w:rsidR="006B5231" w:rsidRPr="00E87FCC">
        <w:rPr>
          <w:rFonts w:ascii="Arial" w:hAnsi="Arial" w:cs="Arial"/>
          <w:color w:val="00000A"/>
          <w:lang w:eastAsia="en-US"/>
        </w:rPr>
        <w:t xml:space="preserve"> </w:t>
      </w:r>
      <w:r w:rsidRPr="00E87FCC">
        <w:rPr>
          <w:rFonts w:ascii="Arial" w:hAnsi="Arial" w:cs="Arial"/>
          <w:color w:val="00000A"/>
          <w:lang w:eastAsia="en-US"/>
        </w:rPr>
        <w:t>s požadavky koncept</w:t>
      </w:r>
      <w:r w:rsidRPr="00E87FCC">
        <w:rPr>
          <w:rFonts w:ascii="Arial" w:eastAsia="TimesNewRoman-OneByteIdentityH" w:hAnsi="Arial" w:cs="Arial"/>
          <w:color w:val="00000A"/>
          <w:lang w:eastAsia="en-US"/>
        </w:rPr>
        <w:t xml:space="preserve">ů </w:t>
      </w:r>
      <w:r w:rsidRPr="00E87FCC">
        <w:rPr>
          <w:rFonts w:ascii="Arial" w:hAnsi="Arial" w:cs="Arial"/>
          <w:color w:val="00000A"/>
          <w:lang w:eastAsia="en-US"/>
        </w:rPr>
        <w:t>NATO, zpravodajské zabezpe</w:t>
      </w:r>
      <w:r w:rsidRPr="00E87FCC">
        <w:rPr>
          <w:rFonts w:ascii="Arial" w:eastAsia="TimesNewRoman-OneByteIdentityH" w:hAnsi="Arial" w:cs="Arial"/>
          <w:color w:val="00000A"/>
          <w:lang w:eastAsia="en-US"/>
        </w:rPr>
        <w:t>č</w:t>
      </w:r>
      <w:r w:rsidRPr="00E87FCC">
        <w:rPr>
          <w:rFonts w:ascii="Arial" w:hAnsi="Arial" w:cs="Arial"/>
          <w:color w:val="00000A"/>
          <w:lang w:eastAsia="en-US"/>
        </w:rPr>
        <w:t>ení A</w:t>
      </w:r>
      <w:r w:rsidR="0018168A">
        <w:rPr>
          <w:rFonts w:ascii="Arial" w:hAnsi="Arial" w:cs="Arial"/>
          <w:color w:val="00000A"/>
          <w:lang w:eastAsia="en-US"/>
        </w:rPr>
        <w:t xml:space="preserve">rmády </w:t>
      </w:r>
      <w:r w:rsidRPr="00E87FCC">
        <w:rPr>
          <w:rFonts w:ascii="Arial" w:eastAsia="TimesNewRoman-OneByteIdentityH" w:hAnsi="Arial" w:cs="Arial"/>
          <w:color w:val="00000A"/>
          <w:lang w:eastAsia="en-US"/>
        </w:rPr>
        <w:t>Č</w:t>
      </w:r>
      <w:r w:rsidRPr="00E87FCC">
        <w:rPr>
          <w:rFonts w:ascii="Arial" w:hAnsi="Arial" w:cs="Arial"/>
          <w:color w:val="00000A"/>
          <w:lang w:eastAsia="en-US"/>
        </w:rPr>
        <w:t>R, informa</w:t>
      </w:r>
      <w:r w:rsidRPr="00E87FCC">
        <w:rPr>
          <w:rFonts w:ascii="Arial" w:eastAsia="TimesNewRoman-OneByteIdentityH" w:hAnsi="Arial" w:cs="Arial"/>
          <w:color w:val="00000A"/>
          <w:lang w:eastAsia="en-US"/>
        </w:rPr>
        <w:t>č</w:t>
      </w:r>
      <w:r w:rsidRPr="00E87FCC">
        <w:rPr>
          <w:rFonts w:ascii="Arial" w:hAnsi="Arial" w:cs="Arial"/>
          <w:color w:val="00000A"/>
          <w:lang w:eastAsia="en-US"/>
        </w:rPr>
        <w:t>ní a rozhodovací</w:t>
      </w:r>
      <w:r w:rsidR="006B5231" w:rsidRPr="00E87FCC">
        <w:rPr>
          <w:rFonts w:ascii="Arial" w:hAnsi="Arial" w:cs="Arial"/>
          <w:color w:val="00000A"/>
          <w:lang w:eastAsia="en-US"/>
        </w:rPr>
        <w:t xml:space="preserve"> superiorita, </w:t>
      </w:r>
      <w:r w:rsidRPr="00E87FCC">
        <w:rPr>
          <w:rFonts w:ascii="Arial" w:hAnsi="Arial" w:cs="Arial"/>
          <w:color w:val="00000A"/>
          <w:lang w:eastAsia="en-US"/>
        </w:rPr>
        <w:t>satelitní komunikace a navigace</w:t>
      </w:r>
      <w:r w:rsidR="006B5231" w:rsidRPr="00E87FCC">
        <w:rPr>
          <w:rFonts w:ascii="Arial" w:hAnsi="Arial" w:cs="Arial"/>
          <w:color w:val="00000A"/>
          <w:lang w:eastAsia="en-US"/>
        </w:rPr>
        <w:t>)</w:t>
      </w:r>
      <w:r w:rsidRPr="00E87FCC">
        <w:rPr>
          <w:rFonts w:ascii="Arial" w:hAnsi="Arial" w:cs="Arial"/>
          <w:color w:val="00000A"/>
          <w:lang w:eastAsia="en-US"/>
        </w:rPr>
        <w:t>.</w:t>
      </w:r>
    </w:p>
    <w:p w:rsidR="00CE78F6" w:rsidRPr="00E87FCC" w:rsidRDefault="00CE78F6" w:rsidP="006712A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Theme="minorHAnsi" w:hAnsi="Arial" w:cs="Arial"/>
          <w:color w:val="00000A"/>
          <w:lang w:eastAsia="en-US"/>
        </w:rPr>
      </w:pPr>
      <w:proofErr w:type="spellStart"/>
      <w:r w:rsidRPr="00E87FCC">
        <w:rPr>
          <w:rFonts w:ascii="Arial" w:eastAsiaTheme="minorHAnsi" w:hAnsi="Arial" w:cs="Arial"/>
          <w:color w:val="00000A"/>
          <w:lang w:eastAsia="en-US"/>
        </w:rPr>
        <w:t>Kybernetizace</w:t>
      </w:r>
      <w:proofErr w:type="spellEnd"/>
      <w:r w:rsidRPr="00E87FCC">
        <w:rPr>
          <w:rFonts w:ascii="Arial" w:eastAsiaTheme="minorHAnsi" w:hAnsi="Arial" w:cs="Arial"/>
          <w:color w:val="00000A"/>
          <w:lang w:eastAsia="en-US"/>
        </w:rPr>
        <w:t xml:space="preserve"> a robotika</w:t>
      </w:r>
    </w:p>
    <w:p w:rsidR="00E021D7" w:rsidRPr="00E87FCC" w:rsidRDefault="006B5231" w:rsidP="006712A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Theme="minorHAnsi" w:hAnsi="Arial" w:cs="Arial"/>
          <w:color w:val="00000A"/>
          <w:lang w:eastAsia="en-US"/>
        </w:rPr>
      </w:pPr>
      <w:r w:rsidRPr="00E87FCC">
        <w:rPr>
          <w:rFonts w:ascii="Arial" w:eastAsiaTheme="minorHAnsi" w:hAnsi="Arial" w:cs="Arial"/>
          <w:color w:val="00000A"/>
          <w:lang w:eastAsia="en-US"/>
        </w:rPr>
        <w:t>Ochrana proti zbraním hromadného ni</w:t>
      </w:r>
      <w:r w:rsidRPr="00E87FCC">
        <w:rPr>
          <w:rFonts w:ascii="Arial" w:eastAsia="TimesNewRoman-OneByteIdentityH" w:hAnsi="Arial" w:cs="Arial"/>
          <w:color w:val="00000A"/>
          <w:lang w:eastAsia="en-US"/>
        </w:rPr>
        <w:t>č</w:t>
      </w:r>
      <w:r w:rsidRPr="00E87FCC">
        <w:rPr>
          <w:rFonts w:ascii="Arial" w:eastAsiaTheme="minorHAnsi" w:hAnsi="Arial" w:cs="Arial"/>
          <w:color w:val="00000A"/>
          <w:lang w:eastAsia="en-US"/>
        </w:rPr>
        <w:t>ení</w:t>
      </w:r>
    </w:p>
    <w:p w:rsidR="00E021D7" w:rsidRPr="00E87FCC" w:rsidRDefault="006B5231" w:rsidP="006712A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Theme="minorHAnsi" w:hAnsi="Arial" w:cs="Arial"/>
          <w:color w:val="00000A"/>
          <w:lang w:eastAsia="en-US"/>
        </w:rPr>
      </w:pPr>
      <w:r w:rsidRPr="00E87FCC">
        <w:rPr>
          <w:rFonts w:ascii="Arial" w:eastAsiaTheme="minorHAnsi" w:hAnsi="Arial" w:cs="Arial"/>
          <w:color w:val="00000A"/>
          <w:lang w:eastAsia="en-US"/>
        </w:rPr>
        <w:t>Ochrana proti improvizovaným výbušným za</w:t>
      </w:r>
      <w:r w:rsidRPr="00E87FCC">
        <w:rPr>
          <w:rFonts w:ascii="Arial" w:eastAsia="TimesNewRoman-OneByteIdentityH" w:hAnsi="Arial" w:cs="Arial"/>
          <w:color w:val="00000A"/>
          <w:lang w:eastAsia="en-US"/>
        </w:rPr>
        <w:t>ř</w:t>
      </w:r>
      <w:r w:rsidRPr="00E87FCC">
        <w:rPr>
          <w:rFonts w:ascii="Arial" w:eastAsiaTheme="minorHAnsi" w:hAnsi="Arial" w:cs="Arial"/>
          <w:color w:val="00000A"/>
          <w:lang w:eastAsia="en-US"/>
        </w:rPr>
        <w:t>ízením</w:t>
      </w:r>
      <w:r w:rsidR="00E021D7" w:rsidRPr="00E87FCC">
        <w:rPr>
          <w:rFonts w:ascii="Arial" w:eastAsiaTheme="minorHAnsi" w:hAnsi="Arial" w:cs="Arial"/>
          <w:color w:val="00000A"/>
          <w:lang w:eastAsia="en-US"/>
        </w:rPr>
        <w:t xml:space="preserve">, </w:t>
      </w:r>
      <w:r w:rsidRPr="00E87FCC">
        <w:rPr>
          <w:rFonts w:ascii="Arial" w:eastAsiaTheme="minorHAnsi" w:hAnsi="Arial" w:cs="Arial"/>
          <w:color w:val="00000A"/>
          <w:lang w:eastAsia="en-US"/>
        </w:rPr>
        <w:t>pyrotechnická služba</w:t>
      </w:r>
      <w:r w:rsidR="00E021D7" w:rsidRPr="00E87FCC">
        <w:rPr>
          <w:rFonts w:ascii="Arial" w:eastAsiaTheme="minorHAnsi" w:hAnsi="Arial" w:cs="Arial"/>
          <w:color w:val="00000A"/>
          <w:lang w:eastAsia="en-US"/>
        </w:rPr>
        <w:t>,</w:t>
      </w:r>
      <w:r w:rsidRPr="00E87FCC">
        <w:rPr>
          <w:rFonts w:ascii="Arial" w:eastAsiaTheme="minorHAnsi" w:hAnsi="Arial" w:cs="Arial"/>
          <w:color w:val="00000A"/>
          <w:lang w:eastAsia="en-US"/>
        </w:rPr>
        <w:t xml:space="preserve"> nevybuchlá munice</w:t>
      </w:r>
    </w:p>
    <w:p w:rsidR="00E021D7" w:rsidRPr="00E87FCC" w:rsidRDefault="00E021D7" w:rsidP="006712A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="TimesNewRoman-OneByteIdentityH" w:hAnsi="Arial" w:cs="Arial"/>
          <w:color w:val="00000A"/>
          <w:lang w:eastAsia="en-US"/>
        </w:rPr>
      </w:pPr>
      <w:r w:rsidRPr="00E87FCC">
        <w:rPr>
          <w:rFonts w:ascii="Arial" w:eastAsiaTheme="minorHAnsi" w:hAnsi="Arial" w:cs="Arial"/>
          <w:color w:val="00000A"/>
          <w:lang w:eastAsia="en-US"/>
        </w:rPr>
        <w:t>Energetické a nesmrtící zbran</w:t>
      </w:r>
      <w:r w:rsidR="00E87FCC">
        <w:rPr>
          <w:rFonts w:ascii="Arial" w:eastAsiaTheme="minorHAnsi" w:hAnsi="Arial" w:cs="Arial"/>
          <w:color w:val="00000A"/>
          <w:lang w:eastAsia="en-US"/>
        </w:rPr>
        <w:t>ě</w:t>
      </w:r>
    </w:p>
    <w:p w:rsidR="00E021D7" w:rsidRPr="00E87FCC" w:rsidRDefault="00E021D7" w:rsidP="006712A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Theme="minorHAnsi" w:hAnsi="Arial" w:cs="Arial"/>
          <w:color w:val="00000A"/>
          <w:lang w:eastAsia="en-US"/>
        </w:rPr>
      </w:pPr>
      <w:r w:rsidRPr="00E87FCC">
        <w:rPr>
          <w:rFonts w:ascii="Arial" w:eastAsiaTheme="minorHAnsi" w:hAnsi="Arial" w:cs="Arial"/>
          <w:color w:val="00000A"/>
          <w:lang w:eastAsia="en-US"/>
        </w:rPr>
        <w:t>Prost</w:t>
      </w:r>
      <w:r w:rsidR="00E87FCC">
        <w:rPr>
          <w:rFonts w:ascii="Arial" w:eastAsiaTheme="minorHAnsi" w:hAnsi="Arial" w:cs="Arial"/>
          <w:color w:val="00000A"/>
          <w:lang w:eastAsia="en-US"/>
        </w:rPr>
        <w:t>ř</w:t>
      </w:r>
      <w:r w:rsidRPr="00E87FCC">
        <w:rPr>
          <w:rFonts w:ascii="Arial" w:eastAsiaTheme="minorHAnsi" w:hAnsi="Arial" w:cs="Arial"/>
          <w:color w:val="00000A"/>
          <w:lang w:eastAsia="en-US"/>
        </w:rPr>
        <w:t>edky polního zdravotnictví</w:t>
      </w:r>
    </w:p>
    <w:p w:rsidR="00E021D7" w:rsidRPr="00E87FCC" w:rsidRDefault="00E021D7" w:rsidP="006712AB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Theme="minorHAnsi" w:hAnsi="Arial" w:cs="Arial"/>
          <w:color w:val="00000A"/>
          <w:lang w:eastAsia="en-US"/>
        </w:rPr>
      </w:pPr>
      <w:r w:rsidRPr="00E87FCC">
        <w:rPr>
          <w:rFonts w:ascii="Arial" w:eastAsiaTheme="minorHAnsi" w:hAnsi="Arial" w:cs="Arial"/>
          <w:color w:val="00000A"/>
          <w:lang w:eastAsia="en-US"/>
        </w:rPr>
        <w:t>Radioloka</w:t>
      </w:r>
      <w:r w:rsidR="00E87FCC">
        <w:rPr>
          <w:rFonts w:ascii="Arial" w:eastAsiaTheme="minorHAnsi" w:hAnsi="Arial" w:cs="Arial"/>
          <w:color w:val="00000A"/>
          <w:lang w:eastAsia="en-US"/>
        </w:rPr>
        <w:t>č</w:t>
      </w:r>
      <w:r w:rsidRPr="00E87FCC">
        <w:rPr>
          <w:rFonts w:ascii="Arial" w:eastAsiaTheme="minorHAnsi" w:hAnsi="Arial" w:cs="Arial"/>
          <w:color w:val="00000A"/>
          <w:lang w:eastAsia="en-US"/>
        </w:rPr>
        <w:t>ní systémy</w:t>
      </w:r>
    </w:p>
    <w:p w:rsidR="00E021D7" w:rsidRPr="00E87FCC" w:rsidRDefault="00E021D7" w:rsidP="0056785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Theme="minorHAnsi" w:hAnsi="Arial" w:cs="Arial"/>
          <w:color w:val="00000A"/>
          <w:lang w:eastAsia="en-US"/>
        </w:rPr>
      </w:pPr>
      <w:r w:rsidRPr="00E87FCC">
        <w:rPr>
          <w:rFonts w:ascii="Arial" w:eastAsiaTheme="minorHAnsi" w:hAnsi="Arial" w:cs="Arial"/>
          <w:color w:val="00000A"/>
          <w:lang w:eastAsia="en-US"/>
        </w:rPr>
        <w:lastRenderedPageBreak/>
        <w:t>Vojenská kartografie</w:t>
      </w:r>
    </w:p>
    <w:p w:rsidR="00E021D7" w:rsidRPr="00E87FCC" w:rsidRDefault="00E021D7" w:rsidP="0056785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Theme="minorHAnsi" w:hAnsi="Arial" w:cs="Arial"/>
          <w:color w:val="00000A"/>
          <w:lang w:eastAsia="en-US"/>
        </w:rPr>
      </w:pPr>
      <w:r w:rsidRPr="00E87FCC">
        <w:rPr>
          <w:rFonts w:ascii="Arial" w:eastAsiaTheme="minorHAnsi" w:hAnsi="Arial" w:cs="Arial"/>
          <w:color w:val="00000A"/>
          <w:lang w:eastAsia="en-US"/>
        </w:rPr>
        <w:t>Analytická podpora</w:t>
      </w:r>
    </w:p>
    <w:p w:rsidR="006712AB" w:rsidRDefault="00E021D7" w:rsidP="0056785D">
      <w:pPr>
        <w:pStyle w:val="Tlotextu"/>
        <w:numPr>
          <w:ilvl w:val="0"/>
          <w:numId w:val="34"/>
        </w:numPr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color w:val="00000A"/>
          <w:lang w:eastAsia="en-US"/>
        </w:rPr>
      </w:pPr>
      <w:r w:rsidRPr="006712AB">
        <w:rPr>
          <w:rFonts w:ascii="Arial" w:hAnsi="Arial" w:cs="Arial"/>
          <w:color w:val="00000A"/>
          <w:lang w:eastAsia="en-US"/>
        </w:rPr>
        <w:t>Rozvoj kompetencí personálu, výcvik a simula</w:t>
      </w:r>
      <w:r w:rsidR="00E87FCC" w:rsidRPr="006712AB">
        <w:rPr>
          <w:rFonts w:ascii="Arial" w:hAnsi="Arial" w:cs="Arial"/>
          <w:color w:val="00000A"/>
          <w:lang w:eastAsia="en-US"/>
        </w:rPr>
        <w:t>č</w:t>
      </w:r>
      <w:r w:rsidRPr="006712AB">
        <w:rPr>
          <w:rFonts w:ascii="Arial" w:hAnsi="Arial" w:cs="Arial"/>
          <w:color w:val="00000A"/>
          <w:lang w:eastAsia="en-US"/>
        </w:rPr>
        <w:t>ní technologi</w:t>
      </w:r>
      <w:r w:rsidR="00E87FCC" w:rsidRPr="006712AB">
        <w:rPr>
          <w:rFonts w:ascii="Arial" w:hAnsi="Arial" w:cs="Arial"/>
          <w:color w:val="00000A"/>
          <w:lang w:eastAsia="en-US"/>
        </w:rPr>
        <w:t>e</w:t>
      </w:r>
    </w:p>
    <w:p w:rsidR="006B5231" w:rsidRPr="006712AB" w:rsidRDefault="00E021D7" w:rsidP="0056785D">
      <w:pPr>
        <w:pStyle w:val="Tlotextu"/>
        <w:numPr>
          <w:ilvl w:val="0"/>
          <w:numId w:val="34"/>
        </w:numPr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color w:val="00000A"/>
          <w:lang w:eastAsia="en-US"/>
        </w:rPr>
      </w:pPr>
      <w:r w:rsidRPr="006712AB">
        <w:rPr>
          <w:rFonts w:ascii="Arial" w:hAnsi="Arial" w:cs="Arial"/>
          <w:color w:val="00000A"/>
          <w:lang w:eastAsia="en-US"/>
        </w:rPr>
        <w:t>Vojenské um</w:t>
      </w:r>
      <w:r w:rsidRPr="006712AB">
        <w:rPr>
          <w:rFonts w:ascii="Arial" w:eastAsia="TimesNewRoman-OneByteIdentityH" w:hAnsi="Arial" w:cs="Arial"/>
          <w:color w:val="00000A"/>
          <w:lang w:eastAsia="en-US"/>
        </w:rPr>
        <w:t>ě</w:t>
      </w:r>
      <w:r w:rsidRPr="006712AB">
        <w:rPr>
          <w:rFonts w:ascii="Arial" w:hAnsi="Arial" w:cs="Arial"/>
          <w:color w:val="00000A"/>
          <w:lang w:eastAsia="en-US"/>
        </w:rPr>
        <w:t>ní</w:t>
      </w:r>
      <w:r w:rsidR="006B5231" w:rsidRPr="006712AB">
        <w:rPr>
          <w:rFonts w:ascii="Arial" w:hAnsi="Arial" w:cs="Arial"/>
          <w:color w:val="00000A"/>
          <w:lang w:eastAsia="en-US"/>
        </w:rPr>
        <w:t xml:space="preserve"> (</w:t>
      </w:r>
      <w:r w:rsidRPr="006712AB">
        <w:rPr>
          <w:rFonts w:ascii="Arial" w:hAnsi="Arial" w:cs="Arial"/>
          <w:color w:val="00000A"/>
          <w:lang w:eastAsia="en-US"/>
        </w:rPr>
        <w:t>rozvoj vojenské strategie a vojenského um</w:t>
      </w:r>
      <w:r w:rsidRPr="006712AB">
        <w:rPr>
          <w:rFonts w:ascii="Arial" w:eastAsia="TimesNewRoman-OneByteIdentityH" w:hAnsi="Arial" w:cs="Arial"/>
          <w:color w:val="00000A"/>
          <w:lang w:eastAsia="en-US"/>
        </w:rPr>
        <w:t>ě</w:t>
      </w:r>
      <w:r w:rsidRPr="006712AB">
        <w:rPr>
          <w:rFonts w:ascii="Arial" w:hAnsi="Arial" w:cs="Arial"/>
          <w:color w:val="00000A"/>
          <w:lang w:eastAsia="en-US"/>
        </w:rPr>
        <w:t>ní s d</w:t>
      </w:r>
      <w:r w:rsidRPr="006712AB">
        <w:rPr>
          <w:rFonts w:ascii="Arial" w:eastAsia="TimesNewRoman-OneByteIdentityH" w:hAnsi="Arial" w:cs="Arial"/>
          <w:color w:val="00000A"/>
          <w:lang w:eastAsia="en-US"/>
        </w:rPr>
        <w:t>ů</w:t>
      </w:r>
      <w:r w:rsidRPr="006712AB">
        <w:rPr>
          <w:rFonts w:ascii="Arial" w:hAnsi="Arial" w:cs="Arial"/>
          <w:color w:val="00000A"/>
          <w:lang w:eastAsia="en-US"/>
        </w:rPr>
        <w:t>razem na</w:t>
      </w:r>
      <w:r w:rsidR="00E87FCC" w:rsidRPr="006712AB">
        <w:rPr>
          <w:rFonts w:ascii="Arial" w:hAnsi="Arial" w:cs="Arial"/>
          <w:color w:val="00000A"/>
          <w:lang w:eastAsia="en-US"/>
        </w:rPr>
        <w:t> </w:t>
      </w:r>
      <w:r w:rsidRPr="006712AB">
        <w:rPr>
          <w:rFonts w:ascii="Arial" w:hAnsi="Arial" w:cs="Arial"/>
          <w:color w:val="00000A"/>
          <w:lang w:eastAsia="en-US"/>
        </w:rPr>
        <w:t>aktuální metody vedení</w:t>
      </w:r>
      <w:r w:rsidR="006B5231" w:rsidRPr="006712AB">
        <w:rPr>
          <w:rFonts w:ascii="Arial" w:hAnsi="Arial" w:cs="Arial"/>
          <w:color w:val="00000A"/>
          <w:lang w:eastAsia="en-US"/>
        </w:rPr>
        <w:t xml:space="preserve"> </w:t>
      </w:r>
      <w:r w:rsidRPr="006712AB">
        <w:rPr>
          <w:rFonts w:ascii="Arial" w:hAnsi="Arial" w:cs="Arial"/>
          <w:color w:val="00000A"/>
          <w:lang w:eastAsia="en-US"/>
        </w:rPr>
        <w:t xml:space="preserve">boje </w:t>
      </w:r>
    </w:p>
    <w:p w:rsidR="00E021D7" w:rsidRPr="00E87FCC" w:rsidRDefault="00E021D7" w:rsidP="0056785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Theme="minorHAnsi" w:hAnsi="Arial" w:cs="Arial"/>
          <w:color w:val="00000A"/>
          <w:lang w:eastAsia="en-US"/>
        </w:rPr>
      </w:pPr>
      <w:r w:rsidRPr="00E87FCC">
        <w:rPr>
          <w:rFonts w:ascii="Arial" w:eastAsiaTheme="minorHAnsi" w:hAnsi="Arial" w:cs="Arial"/>
          <w:color w:val="00000A"/>
          <w:lang w:eastAsia="en-US"/>
        </w:rPr>
        <w:t>Zpravodajské schopnosti a kybernetická obrana</w:t>
      </w:r>
    </w:p>
    <w:p w:rsidR="00E021D7" w:rsidRPr="00E87FCC" w:rsidRDefault="00E021D7" w:rsidP="0056785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Theme="minorHAnsi" w:hAnsi="Arial" w:cs="Arial"/>
          <w:color w:val="00000A"/>
          <w:lang w:eastAsia="en-US"/>
        </w:rPr>
      </w:pPr>
      <w:r w:rsidRPr="00E87FCC">
        <w:rPr>
          <w:rFonts w:ascii="Arial" w:eastAsiaTheme="minorHAnsi" w:hAnsi="Arial" w:cs="Arial"/>
          <w:color w:val="00000A"/>
          <w:lang w:eastAsia="en-US"/>
        </w:rPr>
        <w:t>Logistické systémy</w:t>
      </w:r>
    </w:p>
    <w:p w:rsidR="00E021D7" w:rsidRPr="00317E8E" w:rsidRDefault="00E021D7" w:rsidP="0056785D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hAnsi="Arial" w:cs="Arial"/>
        </w:rPr>
      </w:pPr>
      <w:r w:rsidRPr="00E87FCC">
        <w:rPr>
          <w:rFonts w:ascii="Arial" w:eastAsiaTheme="minorHAnsi" w:hAnsi="Arial" w:cs="Arial"/>
          <w:color w:val="00000A"/>
          <w:lang w:eastAsia="en-US"/>
        </w:rPr>
        <w:t>Materiálové inženýrství</w:t>
      </w:r>
      <w:r w:rsidR="00CC19CD" w:rsidRPr="00E87FCC">
        <w:rPr>
          <w:rFonts w:ascii="Arial" w:eastAsiaTheme="minorHAnsi" w:hAnsi="Arial" w:cs="Arial"/>
          <w:color w:val="00000A"/>
          <w:lang w:eastAsia="en-US"/>
        </w:rPr>
        <w:t xml:space="preserve"> (</w:t>
      </w:r>
      <w:r w:rsidRPr="00E87FCC">
        <w:rPr>
          <w:rFonts w:ascii="Arial" w:eastAsiaTheme="minorHAnsi" w:hAnsi="Arial" w:cs="Arial"/>
          <w:color w:val="00000A"/>
          <w:lang w:eastAsia="en-US"/>
        </w:rPr>
        <w:t>výzkum a aplikace nových materiál</w:t>
      </w:r>
      <w:r w:rsidRPr="00E87FCC">
        <w:rPr>
          <w:rFonts w:ascii="Arial" w:eastAsia="TimesNewRoman-OneByteIdentityH" w:hAnsi="Arial" w:cs="Arial"/>
          <w:color w:val="00000A"/>
          <w:lang w:eastAsia="en-US"/>
        </w:rPr>
        <w:t>ů</w:t>
      </w:r>
      <w:r w:rsidRPr="00E87FCC">
        <w:rPr>
          <w:rFonts w:ascii="Arial" w:eastAsiaTheme="minorHAnsi" w:hAnsi="Arial" w:cs="Arial"/>
          <w:color w:val="00000A"/>
          <w:lang w:eastAsia="en-US"/>
        </w:rPr>
        <w:t>, nanotechnologie</w:t>
      </w:r>
      <w:r w:rsidR="00CC19CD" w:rsidRPr="00E87FCC">
        <w:rPr>
          <w:rFonts w:ascii="Arial" w:eastAsiaTheme="minorHAnsi" w:hAnsi="Arial" w:cs="Arial"/>
          <w:color w:val="00000A"/>
          <w:lang w:eastAsia="en-US"/>
        </w:rPr>
        <w:t>)</w:t>
      </w:r>
    </w:p>
    <w:p w:rsidR="00317E8E" w:rsidRDefault="00317E8E" w:rsidP="0056785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Na uvedené prioritní oblasti jsou poskytovány finanční prostředky z programů aplikovaného obranného výzkumu, vývoje a inovací.</w:t>
      </w:r>
    </w:p>
    <w:p w:rsidR="00317E8E" w:rsidRDefault="00317E8E" w:rsidP="0056785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době realizace </w:t>
      </w:r>
      <w:r w:rsidR="007C0FF6">
        <w:rPr>
          <w:rFonts w:ascii="Arial" w:hAnsi="Arial" w:cs="Arial"/>
        </w:rPr>
        <w:t>K</w:t>
      </w:r>
      <w:r>
        <w:rPr>
          <w:rFonts w:ascii="Arial" w:hAnsi="Arial" w:cs="Arial"/>
        </w:rPr>
        <w:t>oncepce</w:t>
      </w:r>
      <w:r w:rsidR="007C0FF6">
        <w:rPr>
          <w:rFonts w:ascii="Arial" w:hAnsi="Arial" w:cs="Arial"/>
        </w:rPr>
        <w:t xml:space="preserve"> 22</w:t>
      </w:r>
      <w:r>
        <w:rPr>
          <w:rFonts w:ascii="Arial" w:hAnsi="Arial" w:cs="Arial"/>
        </w:rPr>
        <w:t xml:space="preserve"> se jedná o programy Obranný aplikovaný výzkum, experimentální vývoj a inovace (2011 – 2017)</w:t>
      </w:r>
      <w:r w:rsidR="00A26D09">
        <w:rPr>
          <w:rFonts w:ascii="Arial" w:hAnsi="Arial" w:cs="Arial"/>
        </w:rPr>
        <w:t>,</w:t>
      </w:r>
      <w:r w:rsidR="00A26D09">
        <w:rPr>
          <w:rStyle w:val="Znakapoznpodarou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Rozvoj ozbrojených sil (2015 – 2022) a program Ambice – podpora rozvoje oblastí, ve kterých Ozbrojené složky dosahují významných výsledků v rámci NATO a EU (2020 – 2026)</w:t>
      </w:r>
      <w:r w:rsidR="0038165B">
        <w:rPr>
          <w:rFonts w:ascii="Arial" w:hAnsi="Arial" w:cs="Arial"/>
        </w:rPr>
        <w:t xml:space="preserve">. </w:t>
      </w:r>
    </w:p>
    <w:p w:rsidR="0038165B" w:rsidRDefault="0038165B" w:rsidP="0056785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A56451">
        <w:rPr>
          <w:rFonts w:ascii="Arial" w:hAnsi="Arial" w:cs="Arial"/>
          <w:b/>
        </w:rPr>
        <w:t>Následující tabulka uvádí přehled výdajů na podporu obranného výzkumu, vývoje a inovací ze státního rozpočtu</w:t>
      </w:r>
      <w:r w:rsidR="00005073">
        <w:rPr>
          <w:rFonts w:ascii="Arial" w:hAnsi="Arial" w:cs="Arial"/>
          <w:b/>
        </w:rPr>
        <w:t xml:space="preserve"> v tis. Kč</w:t>
      </w:r>
      <w:r w:rsidRPr="00A56451">
        <w:rPr>
          <w:rFonts w:ascii="Arial" w:hAnsi="Arial" w:cs="Arial"/>
          <w:b/>
        </w:rPr>
        <w:t>:</w:t>
      </w:r>
    </w:p>
    <w:p w:rsidR="00A56451" w:rsidRPr="00A56451" w:rsidRDefault="00A56451" w:rsidP="0056785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Institucionální podpora: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655"/>
        <w:gridCol w:w="996"/>
        <w:gridCol w:w="996"/>
        <w:gridCol w:w="1017"/>
        <w:gridCol w:w="1256"/>
        <w:gridCol w:w="1134"/>
        <w:gridCol w:w="1238"/>
        <w:gridCol w:w="996"/>
      </w:tblGrid>
      <w:tr w:rsidR="0038165B" w:rsidRPr="00005073" w:rsidTr="00005073">
        <w:tc>
          <w:tcPr>
            <w:tcW w:w="1655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996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017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56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134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238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96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2022</w:t>
            </w:r>
          </w:p>
        </w:tc>
      </w:tr>
      <w:tr w:rsidR="0038165B" w:rsidRPr="00005073" w:rsidTr="00005073">
        <w:tc>
          <w:tcPr>
            <w:tcW w:w="1655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Institucionální (koncepce)</w:t>
            </w:r>
          </w:p>
        </w:tc>
        <w:tc>
          <w:tcPr>
            <w:tcW w:w="996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97 787</w:t>
            </w:r>
          </w:p>
        </w:tc>
        <w:tc>
          <w:tcPr>
            <w:tcW w:w="996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97 787</w:t>
            </w:r>
          </w:p>
        </w:tc>
        <w:tc>
          <w:tcPr>
            <w:tcW w:w="1017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96 947</w:t>
            </w:r>
          </w:p>
        </w:tc>
        <w:tc>
          <w:tcPr>
            <w:tcW w:w="1256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103 100</w:t>
            </w:r>
          </w:p>
        </w:tc>
        <w:tc>
          <w:tcPr>
            <w:tcW w:w="1134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103 100</w:t>
            </w:r>
          </w:p>
        </w:tc>
        <w:tc>
          <w:tcPr>
            <w:tcW w:w="1238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103 000</w:t>
            </w:r>
          </w:p>
        </w:tc>
        <w:tc>
          <w:tcPr>
            <w:tcW w:w="996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103 000</w:t>
            </w:r>
          </w:p>
        </w:tc>
      </w:tr>
      <w:tr w:rsidR="0038165B" w:rsidRPr="00005073" w:rsidTr="00005073">
        <w:tc>
          <w:tcPr>
            <w:tcW w:w="1655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Institucionální</w:t>
            </w:r>
          </w:p>
          <w:p w:rsidR="0038165B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(</w:t>
            </w:r>
            <w:r w:rsidR="0038165B"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skutečnost</w:t>
            </w: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6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97 897</w:t>
            </w:r>
          </w:p>
        </w:tc>
        <w:tc>
          <w:tcPr>
            <w:tcW w:w="996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101 652</w:t>
            </w:r>
          </w:p>
        </w:tc>
        <w:tc>
          <w:tcPr>
            <w:tcW w:w="1017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</w:t>
            </w:r>
            <w:r w:rsid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</w:t>
            </w: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 xml:space="preserve"> 200</w:t>
            </w:r>
          </w:p>
        </w:tc>
        <w:tc>
          <w:tcPr>
            <w:tcW w:w="1256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106 123</w:t>
            </w:r>
          </w:p>
        </w:tc>
        <w:tc>
          <w:tcPr>
            <w:tcW w:w="1134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106 123</w:t>
            </w:r>
          </w:p>
        </w:tc>
        <w:tc>
          <w:tcPr>
            <w:tcW w:w="1238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206 123</w:t>
            </w:r>
          </w:p>
        </w:tc>
        <w:tc>
          <w:tcPr>
            <w:tcW w:w="996" w:type="dxa"/>
          </w:tcPr>
          <w:p w:rsidR="0038165B" w:rsidRPr="00005073" w:rsidRDefault="009F4B9D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106 123</w:t>
            </w:r>
          </w:p>
        </w:tc>
      </w:tr>
      <w:tr w:rsidR="0038165B" w:rsidRPr="00005073" w:rsidTr="00005073">
        <w:tc>
          <w:tcPr>
            <w:tcW w:w="1655" w:type="dxa"/>
          </w:tcPr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Institucionální</w:t>
            </w:r>
          </w:p>
          <w:p w:rsidR="0038165B" w:rsidRPr="00005073" w:rsidRDefault="0038165B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(rozdíl)</w:t>
            </w:r>
          </w:p>
        </w:tc>
        <w:tc>
          <w:tcPr>
            <w:tcW w:w="996" w:type="dxa"/>
          </w:tcPr>
          <w:p w:rsidR="0038165B" w:rsidRPr="00005073" w:rsidRDefault="009F4B9D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6" w:type="dxa"/>
          </w:tcPr>
          <w:p w:rsidR="0038165B" w:rsidRPr="00005073" w:rsidRDefault="009F4B9D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3 865</w:t>
            </w:r>
          </w:p>
        </w:tc>
        <w:tc>
          <w:tcPr>
            <w:tcW w:w="1017" w:type="dxa"/>
          </w:tcPr>
          <w:p w:rsidR="0038165B" w:rsidRPr="00005073" w:rsidRDefault="009F4B9D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5 253</w:t>
            </w:r>
          </w:p>
        </w:tc>
        <w:tc>
          <w:tcPr>
            <w:tcW w:w="1256" w:type="dxa"/>
          </w:tcPr>
          <w:p w:rsidR="0038165B" w:rsidRPr="00005073" w:rsidRDefault="009F4B9D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3 023</w:t>
            </w:r>
          </w:p>
        </w:tc>
        <w:tc>
          <w:tcPr>
            <w:tcW w:w="1134" w:type="dxa"/>
          </w:tcPr>
          <w:p w:rsidR="0038165B" w:rsidRPr="00005073" w:rsidRDefault="009F4B9D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3 023</w:t>
            </w:r>
          </w:p>
        </w:tc>
        <w:tc>
          <w:tcPr>
            <w:tcW w:w="1238" w:type="dxa"/>
          </w:tcPr>
          <w:p w:rsidR="0038165B" w:rsidRPr="00005073" w:rsidRDefault="009F4B9D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3 023</w:t>
            </w:r>
          </w:p>
        </w:tc>
        <w:tc>
          <w:tcPr>
            <w:tcW w:w="996" w:type="dxa"/>
          </w:tcPr>
          <w:p w:rsidR="0038165B" w:rsidRPr="00005073" w:rsidRDefault="009F4B9D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3 023</w:t>
            </w:r>
          </w:p>
        </w:tc>
      </w:tr>
    </w:tbl>
    <w:p w:rsidR="00A56451" w:rsidRPr="00A56451" w:rsidRDefault="00A56451" w:rsidP="0056785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Účelová podpora: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655"/>
        <w:gridCol w:w="996"/>
        <w:gridCol w:w="996"/>
        <w:gridCol w:w="1017"/>
        <w:gridCol w:w="1256"/>
        <w:gridCol w:w="1303"/>
        <w:gridCol w:w="1069"/>
        <w:gridCol w:w="996"/>
      </w:tblGrid>
      <w:tr w:rsidR="00A56451" w:rsidRPr="00005073" w:rsidTr="00D91668">
        <w:tc>
          <w:tcPr>
            <w:tcW w:w="1655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017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5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303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069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2022</w:t>
            </w:r>
          </w:p>
        </w:tc>
      </w:tr>
      <w:tr w:rsidR="00A56451" w:rsidRPr="00005073" w:rsidTr="00D91668">
        <w:tc>
          <w:tcPr>
            <w:tcW w:w="1655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Účelová (koncepce)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333 000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333 000</w:t>
            </w:r>
          </w:p>
        </w:tc>
        <w:tc>
          <w:tcPr>
            <w:tcW w:w="1017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333 840</w:t>
            </w:r>
          </w:p>
        </w:tc>
        <w:tc>
          <w:tcPr>
            <w:tcW w:w="125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333 240</w:t>
            </w:r>
          </w:p>
        </w:tc>
        <w:tc>
          <w:tcPr>
            <w:tcW w:w="1303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354 000</w:t>
            </w:r>
          </w:p>
        </w:tc>
        <w:tc>
          <w:tcPr>
            <w:tcW w:w="1069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366 000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373 000</w:t>
            </w:r>
          </w:p>
        </w:tc>
      </w:tr>
      <w:tr w:rsidR="00A56451" w:rsidRPr="00005073" w:rsidTr="00D91668">
        <w:tc>
          <w:tcPr>
            <w:tcW w:w="1655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Účelová (skutečnost)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333 000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333 000</w:t>
            </w:r>
          </w:p>
        </w:tc>
        <w:tc>
          <w:tcPr>
            <w:tcW w:w="1017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333 840</w:t>
            </w:r>
          </w:p>
        </w:tc>
        <w:tc>
          <w:tcPr>
            <w:tcW w:w="125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308 363</w:t>
            </w:r>
          </w:p>
        </w:tc>
        <w:tc>
          <w:tcPr>
            <w:tcW w:w="1303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333 240</w:t>
            </w:r>
          </w:p>
        </w:tc>
        <w:tc>
          <w:tcPr>
            <w:tcW w:w="1069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333 240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333 240</w:t>
            </w:r>
          </w:p>
        </w:tc>
      </w:tr>
      <w:tr w:rsidR="00A56451" w:rsidRPr="00005073" w:rsidTr="00D91668">
        <w:tc>
          <w:tcPr>
            <w:tcW w:w="1655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Účelová (rozdíl)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7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-24 877</w:t>
            </w:r>
          </w:p>
        </w:tc>
        <w:tc>
          <w:tcPr>
            <w:tcW w:w="1303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-20 7</w:t>
            </w:r>
            <w:r w:rsid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6</w:t>
            </w: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9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-32 760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-39 760</w:t>
            </w:r>
          </w:p>
        </w:tc>
      </w:tr>
    </w:tbl>
    <w:p w:rsidR="00A56451" w:rsidRPr="00A56451" w:rsidRDefault="00A56451" w:rsidP="0056785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Celkem: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655"/>
        <w:gridCol w:w="996"/>
        <w:gridCol w:w="996"/>
        <w:gridCol w:w="1017"/>
        <w:gridCol w:w="1256"/>
        <w:gridCol w:w="1303"/>
        <w:gridCol w:w="1069"/>
        <w:gridCol w:w="996"/>
      </w:tblGrid>
      <w:tr w:rsidR="00A56451" w:rsidRPr="00005073" w:rsidTr="00D91668">
        <w:tc>
          <w:tcPr>
            <w:tcW w:w="1655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017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5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303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069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2022</w:t>
            </w:r>
          </w:p>
        </w:tc>
      </w:tr>
      <w:tr w:rsidR="00A56451" w:rsidRPr="00005073" w:rsidTr="00D91668">
        <w:tc>
          <w:tcPr>
            <w:tcW w:w="1655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Celkem (koncepce)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430 787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430 787</w:t>
            </w:r>
          </w:p>
        </w:tc>
        <w:tc>
          <w:tcPr>
            <w:tcW w:w="1017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430 787</w:t>
            </w:r>
          </w:p>
        </w:tc>
        <w:tc>
          <w:tcPr>
            <w:tcW w:w="125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436 340</w:t>
            </w:r>
          </w:p>
        </w:tc>
        <w:tc>
          <w:tcPr>
            <w:tcW w:w="1303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457 100</w:t>
            </w:r>
          </w:p>
        </w:tc>
        <w:tc>
          <w:tcPr>
            <w:tcW w:w="1069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469 100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476 100</w:t>
            </w:r>
          </w:p>
        </w:tc>
      </w:tr>
      <w:tr w:rsidR="00A56451" w:rsidRPr="00005073" w:rsidTr="00D91668">
        <w:tc>
          <w:tcPr>
            <w:tcW w:w="1655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Celkem (skutečnost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430 787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434 652</w:t>
            </w:r>
          </w:p>
        </w:tc>
        <w:tc>
          <w:tcPr>
            <w:tcW w:w="1017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436 040</w:t>
            </w:r>
          </w:p>
        </w:tc>
        <w:tc>
          <w:tcPr>
            <w:tcW w:w="125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414 486</w:t>
            </w:r>
          </w:p>
        </w:tc>
        <w:tc>
          <w:tcPr>
            <w:tcW w:w="1303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439 363</w:t>
            </w:r>
          </w:p>
        </w:tc>
        <w:tc>
          <w:tcPr>
            <w:tcW w:w="1069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439 363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439 363</w:t>
            </w:r>
          </w:p>
        </w:tc>
      </w:tr>
      <w:tr w:rsidR="00A56451" w:rsidRPr="00005073" w:rsidTr="00D91668">
        <w:tc>
          <w:tcPr>
            <w:tcW w:w="1655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Celkem (rozdíl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3</w:t>
            </w:r>
            <w:r w:rsid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 xml:space="preserve"> </w:t>
            </w: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865</w:t>
            </w:r>
          </w:p>
        </w:tc>
        <w:tc>
          <w:tcPr>
            <w:tcW w:w="1017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5 253</w:t>
            </w:r>
          </w:p>
        </w:tc>
        <w:tc>
          <w:tcPr>
            <w:tcW w:w="1256" w:type="dxa"/>
          </w:tcPr>
          <w:p w:rsidR="00A56451" w:rsidRPr="003C6C94" w:rsidRDefault="003C6C94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-21854</w:t>
            </w:r>
          </w:p>
        </w:tc>
        <w:tc>
          <w:tcPr>
            <w:tcW w:w="1303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-17 737</w:t>
            </w:r>
          </w:p>
        </w:tc>
        <w:tc>
          <w:tcPr>
            <w:tcW w:w="1069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 xml:space="preserve">- 29 737 </w:t>
            </w:r>
          </w:p>
        </w:tc>
        <w:tc>
          <w:tcPr>
            <w:tcW w:w="996" w:type="dxa"/>
          </w:tcPr>
          <w:p w:rsidR="00A56451" w:rsidRPr="00005073" w:rsidRDefault="00A56451" w:rsidP="0056785D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</w:pPr>
            <w:r w:rsidRPr="00005073">
              <w:rPr>
                <w:rFonts w:ascii="Arial" w:eastAsia="TimesNewRomanPSMT" w:hAnsi="Arial" w:cs="Arial"/>
                <w:sz w:val="20"/>
                <w:szCs w:val="20"/>
                <w:lang w:eastAsia="en-US"/>
              </w:rPr>
              <w:t>-36 737</w:t>
            </w:r>
          </w:p>
        </w:tc>
      </w:tr>
    </w:tbl>
    <w:p w:rsidR="003C6C94" w:rsidRPr="003C6C94" w:rsidRDefault="003C6C94" w:rsidP="0056785D">
      <w:pPr>
        <w:keepNext/>
        <w:autoSpaceDE w:val="0"/>
        <w:autoSpaceDN w:val="0"/>
        <w:adjustRightInd w:val="0"/>
        <w:spacing w:after="120"/>
        <w:contextualSpacing/>
        <w:rPr>
          <w:rFonts w:ascii="Arial" w:eastAsia="TimesNewRomanPSMT" w:hAnsi="Arial" w:cs="Arial"/>
          <w:b/>
          <w:lang w:eastAsia="en-US"/>
        </w:rPr>
      </w:pPr>
      <w:r w:rsidRPr="003C6C94">
        <w:rPr>
          <w:rFonts w:ascii="Arial" w:eastAsia="TimesNewRomanPSMT" w:hAnsi="Arial" w:cs="Arial"/>
          <w:b/>
          <w:lang w:eastAsia="en-US"/>
        </w:rPr>
        <w:lastRenderedPageBreak/>
        <w:t>Z provedeného hodnocení vyvodilo MO následující závěry:</w:t>
      </w:r>
    </w:p>
    <w:p w:rsidR="003C6C94" w:rsidRDefault="003C6C94" w:rsidP="003C6C94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eastAsia="TimesNewRomanPSMT" w:hAnsi="Arial" w:cs="Arial"/>
          <w:lang w:eastAsia="en-US"/>
        </w:rPr>
      </w:pPr>
      <w:r w:rsidRPr="003C6C94">
        <w:rPr>
          <w:rFonts w:ascii="Arial" w:eastAsia="TimesNewRomanPSMT" w:hAnsi="Arial" w:cs="Arial"/>
          <w:lang w:eastAsia="en-US"/>
        </w:rPr>
        <w:t>Jako setrvávající nedostatek přes zlepšující se stav zůstává u programů veřejných zakázek ve</w:t>
      </w:r>
      <w:r>
        <w:rPr>
          <w:rFonts w:ascii="Arial" w:eastAsia="TimesNewRomanPSMT" w:hAnsi="Arial" w:cs="Arial"/>
          <w:lang w:eastAsia="en-US"/>
        </w:rPr>
        <w:t xml:space="preserve"> </w:t>
      </w:r>
      <w:r w:rsidRPr="003C6C94">
        <w:rPr>
          <w:rFonts w:ascii="Arial" w:eastAsia="TimesNewRomanPSMT" w:hAnsi="Arial" w:cs="Arial"/>
          <w:lang w:eastAsia="en-US"/>
        </w:rPr>
        <w:t>vývoji nižší akviziční návaznost na úspěšně dokončené projekty obranného vývoje.</w:t>
      </w:r>
    </w:p>
    <w:p w:rsidR="003C6C94" w:rsidRPr="003C6C94" w:rsidRDefault="003C6C94" w:rsidP="003C6C94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after="120"/>
        <w:ind w:left="777" w:hanging="357"/>
        <w:contextualSpacing w:val="0"/>
        <w:jc w:val="both"/>
        <w:rPr>
          <w:rFonts w:ascii="Arial" w:eastAsia="TimesNewRomanPSMT" w:hAnsi="Arial" w:cs="Arial"/>
          <w:lang w:eastAsia="en-US"/>
        </w:rPr>
      </w:pPr>
      <w:r w:rsidRPr="003C6C94">
        <w:rPr>
          <w:rFonts w:ascii="Arial" w:eastAsia="TimesNewRomanPSMT" w:hAnsi="Arial" w:cs="Arial"/>
          <w:lang w:eastAsia="en-US"/>
        </w:rPr>
        <w:t>Z nastoleného vývoje financování podpory obranného výzkumu, vývoje a</w:t>
      </w:r>
      <w:r>
        <w:rPr>
          <w:rFonts w:ascii="Arial" w:eastAsia="TimesNewRomanPSMT" w:hAnsi="Arial" w:cs="Arial"/>
          <w:lang w:eastAsia="en-US"/>
        </w:rPr>
        <w:t> </w:t>
      </w:r>
      <w:r w:rsidRPr="003C6C94">
        <w:rPr>
          <w:rFonts w:ascii="Arial" w:eastAsia="TimesNewRomanPSMT" w:hAnsi="Arial" w:cs="Arial"/>
          <w:lang w:eastAsia="en-US"/>
        </w:rPr>
        <w:t>inovací lze predikovat, že byť jsou v letech 2019 až 2022 v rámci účelové podpory nižší finanční prostředky státního rozpočtu, než bylo plánováno, díky nespotřebovaným výdajům</w:t>
      </w:r>
      <w:r>
        <w:rPr>
          <w:rFonts w:ascii="Arial" w:eastAsia="TimesNewRomanPSMT" w:hAnsi="Arial" w:cs="Arial"/>
          <w:lang w:eastAsia="en-US"/>
        </w:rPr>
        <w:t xml:space="preserve"> </w:t>
      </w:r>
      <w:r w:rsidRPr="003C6C94">
        <w:rPr>
          <w:rFonts w:ascii="Arial" w:eastAsia="TimesNewRomanPSMT" w:hAnsi="Arial" w:cs="Arial"/>
          <w:lang w:eastAsia="en-US"/>
        </w:rPr>
        <w:t>z minulých let nebude naplnění cílů stanovených v</w:t>
      </w:r>
      <w:r w:rsidR="0018168A">
        <w:rPr>
          <w:rFonts w:ascii="Arial" w:eastAsia="TimesNewRomanPSMT" w:hAnsi="Arial" w:cs="Arial"/>
          <w:lang w:eastAsia="en-US"/>
        </w:rPr>
        <w:t> </w:t>
      </w:r>
      <w:r w:rsidRPr="003C6C94">
        <w:rPr>
          <w:rFonts w:ascii="Arial" w:eastAsia="TimesNewRomanPSMT" w:hAnsi="Arial" w:cs="Arial"/>
          <w:lang w:eastAsia="en-US"/>
        </w:rPr>
        <w:t>Koncepci ohroženo.</w:t>
      </w:r>
    </w:p>
    <w:p w:rsidR="00604657" w:rsidRPr="003C6C94" w:rsidRDefault="00A82E18" w:rsidP="003C6C94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3C6C94">
        <w:rPr>
          <w:rFonts w:ascii="Arial" w:hAnsi="Arial" w:cs="Arial"/>
          <w:b/>
          <w:color w:val="365F91" w:themeColor="accent1" w:themeShade="BF"/>
        </w:rPr>
        <w:t>Pos</w:t>
      </w:r>
      <w:r>
        <w:rPr>
          <w:rFonts w:ascii="Arial" w:hAnsi="Arial" w:cs="Arial"/>
          <w:b/>
          <w:color w:val="365F91" w:themeColor="accent1" w:themeShade="BF"/>
        </w:rPr>
        <w:t>ouzení</w:t>
      </w:r>
      <w:r w:rsidR="00604657" w:rsidRPr="003C6C94">
        <w:rPr>
          <w:rFonts w:ascii="Arial" w:hAnsi="Arial" w:cs="Arial"/>
          <w:b/>
          <w:color w:val="365F91" w:themeColor="accent1" w:themeShade="BF"/>
        </w:rPr>
        <w:t xml:space="preserve"> Průběžné</w:t>
      </w:r>
      <w:r>
        <w:rPr>
          <w:rFonts w:ascii="Arial" w:hAnsi="Arial" w:cs="Arial"/>
          <w:b/>
          <w:color w:val="365F91" w:themeColor="accent1" w:themeShade="BF"/>
        </w:rPr>
        <w:t>ho hodnocení</w:t>
      </w:r>
      <w:r w:rsidR="00604657" w:rsidRPr="003C6C94">
        <w:rPr>
          <w:rFonts w:ascii="Arial" w:hAnsi="Arial" w:cs="Arial"/>
          <w:b/>
          <w:color w:val="365F91" w:themeColor="accent1" w:themeShade="BF"/>
        </w:rPr>
        <w:t xml:space="preserve"> Radou</w:t>
      </w:r>
    </w:p>
    <w:p w:rsidR="00F835D9" w:rsidRDefault="00271B38" w:rsidP="00F835D9">
      <w:pPr>
        <w:pStyle w:val="Zkladntext"/>
        <w:jc w:val="both"/>
        <w:rPr>
          <w:rFonts w:ascii="Arial" w:eastAsia="TimesNewRomanPSMT" w:hAnsi="Arial" w:cs="Arial"/>
          <w:color w:val="00000A"/>
          <w:lang w:eastAsia="en-US"/>
        </w:rPr>
      </w:pPr>
      <w:r w:rsidRPr="00A82E18">
        <w:rPr>
          <w:rFonts w:ascii="Arial" w:hAnsi="Arial" w:cs="Arial"/>
        </w:rPr>
        <w:t>Cílem Průběžné</w:t>
      </w:r>
      <w:r w:rsidR="003C6C94" w:rsidRPr="00A82E18">
        <w:rPr>
          <w:rFonts w:ascii="Arial" w:hAnsi="Arial" w:cs="Arial"/>
        </w:rPr>
        <w:t xml:space="preserve">ho hodnocení mělo být </w:t>
      </w:r>
      <w:r w:rsidR="0018168A">
        <w:rPr>
          <w:rFonts w:ascii="Arial" w:hAnsi="Arial" w:cs="Arial"/>
        </w:rPr>
        <w:t>zhodnocení</w:t>
      </w:r>
      <w:r w:rsidR="003C6C94" w:rsidRPr="00A82E18">
        <w:rPr>
          <w:rFonts w:ascii="Arial" w:hAnsi="Arial" w:cs="Arial"/>
        </w:rPr>
        <w:t xml:space="preserve"> plnění koncepce</w:t>
      </w:r>
      <w:r w:rsidRPr="00A82E18">
        <w:rPr>
          <w:rFonts w:ascii="Arial" w:hAnsi="Arial" w:cs="Arial"/>
        </w:rPr>
        <w:t xml:space="preserve"> výzkumu, vývoje a inovací v sektoru </w:t>
      </w:r>
      <w:r w:rsidR="003C6C94" w:rsidRPr="00A82E18">
        <w:rPr>
          <w:rFonts w:ascii="Arial" w:hAnsi="Arial" w:cs="Arial"/>
        </w:rPr>
        <w:t>obrany</w:t>
      </w:r>
      <w:r w:rsidR="007D67D2" w:rsidRPr="00A82E18">
        <w:rPr>
          <w:rFonts w:ascii="Arial" w:hAnsi="Arial" w:cs="Arial"/>
        </w:rPr>
        <w:t>.</w:t>
      </w:r>
      <w:r w:rsidR="00A82E18" w:rsidRPr="00A82E18">
        <w:rPr>
          <w:rFonts w:ascii="Arial" w:hAnsi="Arial" w:cs="Arial"/>
        </w:rPr>
        <w:t xml:space="preserve"> Obranný aplikovaný výzkum a vývoj patří mezi odvětvové oblasti výzkumu a vývoje</w:t>
      </w:r>
      <w:r w:rsidR="00A82E18">
        <w:rPr>
          <w:rFonts w:ascii="Arial" w:hAnsi="Arial" w:cs="Arial"/>
        </w:rPr>
        <w:t xml:space="preserve">, ale vzhledem ke skutečnosti, že </w:t>
      </w:r>
      <w:r w:rsidR="00A122C8">
        <w:rPr>
          <w:rFonts w:ascii="Arial" w:hAnsi="Arial" w:cs="Arial"/>
        </w:rPr>
        <w:t xml:space="preserve">pokrývá </w:t>
      </w:r>
      <w:r w:rsidR="00A82E18">
        <w:rPr>
          <w:rFonts w:ascii="Arial" w:hAnsi="Arial" w:cs="Arial"/>
        </w:rPr>
        <w:t>Prioritní oblast 6</w:t>
      </w:r>
      <w:r w:rsidR="00A82E18">
        <w:rPr>
          <w:rFonts w:ascii="Arial" w:eastAsia="TimesNewRomanPSMT" w:hAnsi="Arial" w:cs="Arial"/>
          <w:color w:val="00000A"/>
          <w:lang w:eastAsia="en-US"/>
        </w:rPr>
        <w:t xml:space="preserve"> - Bezpečná společnost - Národních priorit orientovaného výzkumu, experimentálního vývoje a inovací, je třeba na </w:t>
      </w:r>
      <w:r w:rsidR="00A122C8">
        <w:rPr>
          <w:rFonts w:ascii="Arial" w:eastAsia="TimesNewRomanPSMT" w:hAnsi="Arial" w:cs="Arial"/>
          <w:color w:val="00000A"/>
          <w:lang w:eastAsia="en-US"/>
        </w:rPr>
        <w:t xml:space="preserve">Koncepci obranného aplikovaného výzkumu pohlížet jako na </w:t>
      </w:r>
      <w:r w:rsidR="00F835D9">
        <w:rPr>
          <w:rFonts w:ascii="Arial" w:eastAsia="TimesNewRomanPSMT" w:hAnsi="Arial" w:cs="Arial"/>
          <w:color w:val="00000A"/>
          <w:lang w:eastAsia="en-US"/>
        </w:rPr>
        <w:t xml:space="preserve">důležitý </w:t>
      </w:r>
      <w:r w:rsidR="00A122C8">
        <w:rPr>
          <w:rFonts w:ascii="Arial" w:eastAsia="TimesNewRomanPSMT" w:hAnsi="Arial" w:cs="Arial"/>
          <w:color w:val="00000A"/>
          <w:lang w:eastAsia="en-US"/>
        </w:rPr>
        <w:t>průřezov</w:t>
      </w:r>
      <w:r w:rsidR="0018168A">
        <w:rPr>
          <w:rFonts w:ascii="Arial" w:eastAsia="TimesNewRomanPSMT" w:hAnsi="Arial" w:cs="Arial"/>
          <w:color w:val="00000A"/>
          <w:lang w:eastAsia="en-US"/>
        </w:rPr>
        <w:t>ého charakteru.</w:t>
      </w:r>
      <w:r w:rsidR="00A82E18">
        <w:rPr>
          <w:rFonts w:ascii="Arial" w:eastAsia="TimesNewRomanPSMT" w:hAnsi="Arial" w:cs="Arial"/>
          <w:color w:val="00000A"/>
          <w:lang w:eastAsia="en-US"/>
        </w:rPr>
        <w:t xml:space="preserve"> </w:t>
      </w:r>
    </w:p>
    <w:p w:rsidR="00F835D9" w:rsidRDefault="00F835D9" w:rsidP="00D34671">
      <w:pPr>
        <w:autoSpaceDE w:val="0"/>
        <w:autoSpaceDN w:val="0"/>
        <w:adjustRightInd w:val="0"/>
        <w:spacing w:after="120"/>
        <w:jc w:val="both"/>
        <w:rPr>
          <w:rFonts w:ascii="Arial" w:eastAsia="TimesNewRoman-OneByteIdentityH" w:hAnsi="Arial" w:cs="Arial"/>
          <w:color w:val="00000A"/>
          <w:lang w:eastAsia="en-US"/>
        </w:rPr>
      </w:pPr>
      <w:r w:rsidRPr="00F835D9">
        <w:rPr>
          <w:rFonts w:ascii="Arial" w:eastAsiaTheme="minorHAnsi" w:hAnsi="Arial" w:cs="Arial"/>
          <w:color w:val="00000A"/>
          <w:lang w:eastAsia="en-US"/>
        </w:rPr>
        <w:t xml:space="preserve">MO má v oblasti obranného </w:t>
      </w:r>
      <w:r>
        <w:rPr>
          <w:rFonts w:ascii="Arial" w:eastAsiaTheme="minorHAnsi" w:hAnsi="Arial" w:cs="Arial"/>
          <w:color w:val="00000A"/>
          <w:lang w:eastAsia="en-US"/>
        </w:rPr>
        <w:t>výzkumu</w:t>
      </w:r>
      <w:r w:rsidRPr="00F835D9">
        <w:rPr>
          <w:rFonts w:ascii="Arial" w:eastAsiaTheme="minorHAnsi" w:hAnsi="Arial" w:cs="Arial"/>
          <w:color w:val="00000A"/>
          <w:lang w:eastAsia="en-US"/>
        </w:rPr>
        <w:t xml:space="preserve"> specifické postavení, nebo</w:t>
      </w:r>
      <w:r w:rsidRPr="00F835D9">
        <w:rPr>
          <w:rFonts w:ascii="Arial" w:eastAsia="TimesNewRoman-OneByteIdentityH" w:hAnsi="Arial" w:cs="Arial"/>
          <w:color w:val="00000A"/>
          <w:lang w:eastAsia="en-US"/>
        </w:rPr>
        <w:t xml:space="preserve">ť </w:t>
      </w:r>
      <w:r w:rsidRPr="00F835D9">
        <w:rPr>
          <w:rFonts w:ascii="Arial" w:eastAsiaTheme="minorHAnsi" w:hAnsi="Arial" w:cs="Arial"/>
          <w:color w:val="00000A"/>
          <w:lang w:eastAsia="en-US"/>
        </w:rPr>
        <w:t>je sou</w:t>
      </w:r>
      <w:r w:rsidRPr="00F835D9">
        <w:rPr>
          <w:rFonts w:ascii="Arial" w:eastAsia="TimesNewRoman-OneByteIdentityH" w:hAnsi="Arial" w:cs="Arial"/>
          <w:color w:val="00000A"/>
          <w:lang w:eastAsia="en-US"/>
        </w:rPr>
        <w:t>č</w:t>
      </w:r>
      <w:r w:rsidRPr="00F835D9">
        <w:rPr>
          <w:rFonts w:ascii="Arial" w:eastAsiaTheme="minorHAnsi" w:hAnsi="Arial" w:cs="Arial"/>
          <w:color w:val="00000A"/>
          <w:lang w:eastAsia="en-US"/>
        </w:rPr>
        <w:t>asn</w:t>
      </w:r>
      <w:r w:rsidRPr="00F835D9">
        <w:rPr>
          <w:rFonts w:ascii="Arial" w:eastAsia="TimesNewRoman-OneByteIdentityH" w:hAnsi="Arial" w:cs="Arial"/>
          <w:color w:val="00000A"/>
          <w:lang w:eastAsia="en-US"/>
        </w:rPr>
        <w:t>ě</w:t>
      </w:r>
      <w:r w:rsidRPr="00F835D9">
        <w:rPr>
          <w:rFonts w:ascii="Arial" w:eastAsiaTheme="minorHAnsi" w:hAnsi="Arial" w:cs="Arial"/>
          <w:color w:val="00000A"/>
          <w:lang w:eastAsia="en-US"/>
        </w:rPr>
        <w:t xml:space="preserve"> poskytovatelem podpory, uživatelem výsledk</w:t>
      </w:r>
      <w:r w:rsidRPr="00F835D9">
        <w:rPr>
          <w:rFonts w:ascii="Arial" w:eastAsia="TimesNewRoman-OneByteIdentityH" w:hAnsi="Arial" w:cs="Arial"/>
          <w:color w:val="00000A"/>
          <w:lang w:eastAsia="en-US"/>
        </w:rPr>
        <w:t xml:space="preserve">ů, a řešitelem i </w:t>
      </w:r>
      <w:r w:rsidR="00D34671" w:rsidRPr="00F835D9">
        <w:rPr>
          <w:rFonts w:ascii="Arial" w:eastAsia="TimesNewRoman-OneByteIdentityH" w:hAnsi="Arial" w:cs="Arial"/>
          <w:color w:val="00000A"/>
          <w:lang w:eastAsia="en-US"/>
        </w:rPr>
        <w:t>auditorem projektů</w:t>
      </w:r>
      <w:r w:rsidR="00D34671">
        <w:rPr>
          <w:rFonts w:ascii="Arial" w:eastAsia="TimesNewRoman-OneByteIdentityH" w:hAnsi="Arial" w:cs="Arial"/>
          <w:color w:val="00000A"/>
          <w:lang w:eastAsia="en-US"/>
        </w:rPr>
        <w:t>.</w:t>
      </w:r>
      <w:r w:rsidRPr="00F835D9">
        <w:rPr>
          <w:rFonts w:ascii="Arial" w:eastAsia="TimesNewRoman-OneByteIdentityH" w:hAnsi="Arial" w:cs="Arial"/>
          <w:color w:val="00000A"/>
          <w:lang w:eastAsia="en-US"/>
        </w:rPr>
        <w:t xml:space="preserve"> </w:t>
      </w:r>
    </w:p>
    <w:p w:rsidR="00D34671" w:rsidRDefault="00D34671" w:rsidP="00D34671">
      <w:pPr>
        <w:autoSpaceDE w:val="0"/>
        <w:autoSpaceDN w:val="0"/>
        <w:adjustRightInd w:val="0"/>
        <w:spacing w:after="120"/>
        <w:jc w:val="both"/>
        <w:rPr>
          <w:rFonts w:ascii="Arial" w:eastAsia="TimesNewRoman-OneByteIdentityH" w:hAnsi="Arial" w:cs="Arial"/>
          <w:color w:val="00000A"/>
          <w:lang w:eastAsia="en-US"/>
        </w:rPr>
      </w:pPr>
      <w:r>
        <w:rPr>
          <w:rFonts w:ascii="Arial" w:eastAsia="TimesNewRoman-OneByteIdentityH" w:hAnsi="Arial" w:cs="Arial"/>
          <w:color w:val="00000A"/>
          <w:lang w:eastAsia="en-US"/>
        </w:rPr>
        <w:t>Výstupem z Průběžného hodnocení by měl být analytický materiál s vazbami na priority koncepce a potřeby oboru.</w:t>
      </w:r>
    </w:p>
    <w:p w:rsidR="00C64A43" w:rsidRDefault="00E10F75" w:rsidP="00C64A43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>P</w:t>
      </w:r>
      <w:r w:rsidR="00D34671" w:rsidRPr="00D34671">
        <w:rPr>
          <w:rFonts w:ascii="Arial" w:hAnsi="Arial" w:cs="Arial"/>
          <w:b/>
          <w:color w:val="365F91" w:themeColor="accent1" w:themeShade="BF"/>
        </w:rPr>
        <w:t>řipomínky Ra</w:t>
      </w:r>
      <w:r w:rsidR="002D16B2">
        <w:rPr>
          <w:rFonts w:ascii="Arial" w:hAnsi="Arial" w:cs="Arial"/>
          <w:b/>
          <w:color w:val="365F91" w:themeColor="accent1" w:themeShade="BF"/>
        </w:rPr>
        <w:t>dy</w:t>
      </w:r>
    </w:p>
    <w:p w:rsidR="00E10F75" w:rsidRPr="00E10F75" w:rsidRDefault="00E10F75" w:rsidP="00E10F75">
      <w:pPr>
        <w:tabs>
          <w:tab w:val="left" w:pos="709"/>
        </w:tabs>
        <w:spacing w:after="120"/>
        <w:ind w:left="357"/>
        <w:jc w:val="both"/>
        <w:rPr>
          <w:rFonts w:ascii="Arial" w:hAnsi="Arial" w:cs="Arial"/>
          <w:b/>
        </w:rPr>
      </w:pPr>
      <w:r w:rsidRPr="00E10F75">
        <w:rPr>
          <w:rFonts w:ascii="Arial" w:hAnsi="Arial" w:cs="Arial"/>
          <w:b/>
        </w:rPr>
        <w:t>Zásadní připomínky:</w:t>
      </w:r>
    </w:p>
    <w:p w:rsidR="001F7313" w:rsidRPr="00BC7DB9" w:rsidRDefault="0018168A" w:rsidP="00E10F75">
      <w:pPr>
        <w:pStyle w:val="Odstavecseseznamem"/>
        <w:numPr>
          <w:ilvl w:val="0"/>
          <w:numId w:val="38"/>
        </w:numPr>
        <w:spacing w:after="120"/>
        <w:ind w:left="0" w:firstLine="0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</w:rPr>
        <w:t>H</w:t>
      </w:r>
      <w:r w:rsidR="007D67D2" w:rsidRPr="00BC7DB9">
        <w:rPr>
          <w:rFonts w:ascii="Arial" w:hAnsi="Arial" w:cs="Arial"/>
        </w:rPr>
        <w:t xml:space="preserve">lavním východiskem pro </w:t>
      </w:r>
      <w:r w:rsidR="00D34671" w:rsidRPr="00BC7DB9">
        <w:rPr>
          <w:rFonts w:ascii="Arial" w:hAnsi="Arial" w:cs="Arial"/>
        </w:rPr>
        <w:t xml:space="preserve">Průběžné hodnocení </w:t>
      </w:r>
      <w:r w:rsidR="007D67D2" w:rsidRPr="00BC7DB9">
        <w:rPr>
          <w:rFonts w:ascii="Arial" w:hAnsi="Arial" w:cs="Arial"/>
        </w:rPr>
        <w:t>byl</w:t>
      </w:r>
      <w:r w:rsidR="001F7313" w:rsidRPr="00BC7DB9">
        <w:rPr>
          <w:rFonts w:ascii="Arial" w:hAnsi="Arial" w:cs="Arial"/>
        </w:rPr>
        <w:t xml:space="preserve"> </w:t>
      </w:r>
      <w:r w:rsidR="00D34671" w:rsidRPr="00BC7DB9">
        <w:rPr>
          <w:rFonts w:ascii="Arial" w:hAnsi="Arial" w:cs="Arial"/>
        </w:rPr>
        <w:t>dokument</w:t>
      </w:r>
      <w:r w:rsidR="007D67D2" w:rsidRPr="00BC7DB9">
        <w:rPr>
          <w:rFonts w:ascii="Arial" w:hAnsi="Arial" w:cs="Arial"/>
        </w:rPr>
        <w:t xml:space="preserve"> „Hodnocení Koncepce obranného aplikovaného výzkumu a vývoje do roku 2015“</w:t>
      </w:r>
      <w:r w:rsidR="002D16B2">
        <w:rPr>
          <w:rFonts w:ascii="Arial" w:hAnsi="Arial" w:cs="Arial"/>
        </w:rPr>
        <w:t xml:space="preserve"> (dále jen „</w:t>
      </w:r>
      <w:r w:rsidR="002D16B2" w:rsidRPr="00BC7DB9">
        <w:rPr>
          <w:rFonts w:ascii="Arial" w:hAnsi="Arial" w:cs="Arial"/>
        </w:rPr>
        <w:t>Hodnocení koncepce 2015</w:t>
      </w:r>
      <w:r w:rsidR="002D16B2">
        <w:rPr>
          <w:rFonts w:ascii="Arial" w:hAnsi="Arial" w:cs="Arial"/>
        </w:rPr>
        <w:t>“)</w:t>
      </w:r>
      <w:r w:rsidR="00D34671" w:rsidRPr="00BC7DB9">
        <w:rPr>
          <w:rFonts w:ascii="Arial" w:hAnsi="Arial" w:cs="Arial"/>
        </w:rPr>
        <w:t>. O</w:t>
      </w:r>
      <w:r w:rsidR="007D67D2" w:rsidRPr="00BC7DB9">
        <w:rPr>
          <w:rFonts w:ascii="Arial" w:hAnsi="Arial" w:cs="Arial"/>
        </w:rPr>
        <w:t xml:space="preserve">ba materiály mají totožnou osnovu, nicméně </w:t>
      </w:r>
      <w:r w:rsidR="0056785D">
        <w:rPr>
          <w:rFonts w:ascii="Arial" w:hAnsi="Arial" w:cs="Arial"/>
        </w:rPr>
        <w:t>z</w:t>
      </w:r>
      <w:r w:rsidR="00E10F75">
        <w:rPr>
          <w:rFonts w:ascii="Arial" w:hAnsi="Arial" w:cs="Arial"/>
        </w:rPr>
        <w:t xml:space="preserve"> jejich </w:t>
      </w:r>
      <w:r w:rsidR="007D67D2" w:rsidRPr="00BC7DB9">
        <w:rPr>
          <w:rFonts w:ascii="Arial" w:hAnsi="Arial" w:cs="Arial"/>
        </w:rPr>
        <w:t xml:space="preserve">porovnání by mělo </w:t>
      </w:r>
      <w:r w:rsidR="001F7313" w:rsidRPr="00BC7DB9">
        <w:rPr>
          <w:rFonts w:ascii="Arial" w:hAnsi="Arial" w:cs="Arial"/>
        </w:rPr>
        <w:t>jasně vyplynout</w:t>
      </w:r>
      <w:r w:rsidR="007D67D2" w:rsidRPr="00BC7DB9">
        <w:rPr>
          <w:rFonts w:ascii="Arial" w:hAnsi="Arial" w:cs="Arial"/>
        </w:rPr>
        <w:t>, jakým způsobem dochází k</w:t>
      </w:r>
      <w:r w:rsidR="002D16B2">
        <w:rPr>
          <w:rFonts w:ascii="Arial" w:hAnsi="Arial" w:cs="Arial"/>
        </w:rPr>
        <w:t xml:space="preserve"> průběžnému </w:t>
      </w:r>
      <w:r w:rsidR="007D67D2" w:rsidRPr="00BC7DB9">
        <w:rPr>
          <w:rFonts w:ascii="Arial" w:hAnsi="Arial" w:cs="Arial"/>
        </w:rPr>
        <w:t>naplňování</w:t>
      </w:r>
      <w:r w:rsidR="002D16B2">
        <w:rPr>
          <w:rFonts w:ascii="Arial" w:hAnsi="Arial" w:cs="Arial"/>
        </w:rPr>
        <w:t xml:space="preserve"> Koncepce 22</w:t>
      </w:r>
      <w:r w:rsidR="007D67D2" w:rsidRPr="00BC7DB9">
        <w:rPr>
          <w:rFonts w:ascii="Arial" w:hAnsi="Arial" w:cs="Arial"/>
        </w:rPr>
        <w:t xml:space="preserve"> a zda došlo k posunu od</w:t>
      </w:r>
      <w:r w:rsidR="0056785D">
        <w:rPr>
          <w:rFonts w:ascii="Arial" w:hAnsi="Arial" w:cs="Arial"/>
        </w:rPr>
        <w:t> </w:t>
      </w:r>
      <w:r w:rsidR="007D67D2" w:rsidRPr="00BC7DB9">
        <w:rPr>
          <w:rFonts w:ascii="Arial" w:hAnsi="Arial" w:cs="Arial"/>
        </w:rPr>
        <w:t>posledního hodnocení.</w:t>
      </w:r>
    </w:p>
    <w:p w:rsidR="001F7313" w:rsidRDefault="001F7313" w:rsidP="00E10F75">
      <w:pPr>
        <w:spacing w:after="120"/>
        <w:jc w:val="both"/>
        <w:rPr>
          <w:rFonts w:ascii="Arial" w:hAnsi="Arial" w:cs="Arial"/>
        </w:rPr>
      </w:pPr>
      <w:r w:rsidRPr="00BC7DB9">
        <w:rPr>
          <w:rFonts w:ascii="Arial" w:hAnsi="Arial" w:cs="Arial"/>
        </w:rPr>
        <w:t>V</w:t>
      </w:r>
      <w:r w:rsidR="007D67D2" w:rsidRPr="00BC7DB9">
        <w:rPr>
          <w:rFonts w:ascii="Arial" w:hAnsi="Arial" w:cs="Arial"/>
        </w:rPr>
        <w:t xml:space="preserve">zhledem k tomu, že se jedná o průběžné hodnocení, </w:t>
      </w:r>
      <w:r w:rsidR="00E10F75">
        <w:rPr>
          <w:rFonts w:ascii="Arial" w:hAnsi="Arial" w:cs="Arial"/>
        </w:rPr>
        <w:t>je nutno</w:t>
      </w:r>
      <w:r w:rsidR="007D67D2" w:rsidRPr="00BC7DB9">
        <w:rPr>
          <w:rFonts w:ascii="Arial" w:hAnsi="Arial" w:cs="Arial"/>
        </w:rPr>
        <w:t xml:space="preserve"> více akcentovat posun a naplňování jednotlivých oblastí (částí) definovaných z převzaté z osnovy Hodnocení koncepce 2015.</w:t>
      </w:r>
      <w:r w:rsidRPr="00BC7DB9">
        <w:rPr>
          <w:rFonts w:ascii="Arial" w:hAnsi="Arial" w:cs="Arial"/>
        </w:rPr>
        <w:t xml:space="preserve"> Např. uvést, v čem se změnila oblast mezinárodní spolupráce, zda a v čem došlo k posunu a uvést finanční alokace</w:t>
      </w:r>
      <w:r w:rsidR="00D70759">
        <w:rPr>
          <w:rFonts w:ascii="Arial" w:hAnsi="Arial" w:cs="Arial"/>
        </w:rPr>
        <w:t>, časový horizont atd.</w:t>
      </w:r>
    </w:p>
    <w:p w:rsidR="00D14902" w:rsidRPr="00D70759" w:rsidRDefault="00C00444" w:rsidP="00E10F75">
      <w:pPr>
        <w:pStyle w:val="Odstavecseseznamem"/>
        <w:numPr>
          <w:ilvl w:val="0"/>
          <w:numId w:val="38"/>
        </w:numPr>
        <w:spacing w:after="120"/>
        <w:ind w:left="0" w:firstLine="0"/>
        <w:jc w:val="both"/>
        <w:rPr>
          <w:rFonts w:ascii="Arial" w:hAnsi="Arial" w:cs="Arial"/>
        </w:rPr>
      </w:pPr>
      <w:r w:rsidRPr="00D70759">
        <w:rPr>
          <w:rFonts w:ascii="Arial" w:hAnsi="Arial" w:cs="Arial"/>
        </w:rPr>
        <w:t xml:space="preserve">Rada </w:t>
      </w:r>
      <w:r w:rsidR="00D70759">
        <w:rPr>
          <w:rFonts w:ascii="Arial" w:hAnsi="Arial" w:cs="Arial"/>
        </w:rPr>
        <w:t>žádá</w:t>
      </w:r>
      <w:r w:rsidRPr="00D70759">
        <w:rPr>
          <w:rFonts w:ascii="Arial" w:hAnsi="Arial" w:cs="Arial"/>
        </w:rPr>
        <w:t xml:space="preserve">, aby </w:t>
      </w:r>
      <w:r w:rsidR="0018168A">
        <w:rPr>
          <w:rFonts w:ascii="Arial" w:hAnsi="Arial" w:cs="Arial"/>
        </w:rPr>
        <w:t>dokument</w:t>
      </w:r>
      <w:r w:rsidRPr="00D70759">
        <w:rPr>
          <w:rFonts w:ascii="Arial" w:hAnsi="Arial" w:cs="Arial"/>
        </w:rPr>
        <w:t xml:space="preserve"> byl doložen</w:t>
      </w:r>
      <w:r w:rsidR="00D14902" w:rsidRPr="00D70759">
        <w:rPr>
          <w:rFonts w:ascii="Arial" w:hAnsi="Arial" w:cs="Arial"/>
        </w:rPr>
        <w:t xml:space="preserve"> </w:t>
      </w:r>
      <w:r w:rsidR="00D70759">
        <w:rPr>
          <w:rFonts w:ascii="Arial" w:hAnsi="Arial" w:cs="Arial"/>
        </w:rPr>
        <w:t xml:space="preserve">alespoň </w:t>
      </w:r>
      <w:r w:rsidR="00D14902" w:rsidRPr="00D70759">
        <w:rPr>
          <w:rFonts w:ascii="Arial" w:hAnsi="Arial" w:cs="Arial"/>
        </w:rPr>
        <w:t>přehlednou základní statistikou</w:t>
      </w:r>
      <w:r w:rsidRPr="00D70759">
        <w:rPr>
          <w:rFonts w:ascii="Arial" w:hAnsi="Arial" w:cs="Arial"/>
        </w:rPr>
        <w:t xml:space="preserve"> týkající se řešení ukončených projektů výzkumu a vývoje</w:t>
      </w:r>
      <w:r w:rsidR="00D14902" w:rsidRPr="00D70759">
        <w:rPr>
          <w:rFonts w:ascii="Arial" w:hAnsi="Arial" w:cs="Arial"/>
        </w:rPr>
        <w:t>.</w:t>
      </w:r>
    </w:p>
    <w:p w:rsidR="003A1350" w:rsidRPr="00D70759" w:rsidRDefault="003A1350" w:rsidP="00E10F75">
      <w:pPr>
        <w:pStyle w:val="Text"/>
        <w:ind w:left="0" w:firstLine="0"/>
      </w:pPr>
      <w:r w:rsidRPr="00D70759">
        <w:t xml:space="preserve">Rada požaduje rozšířit závěry hodnocení o informaci, jak jsou naplňovány klíčové oblasti </w:t>
      </w:r>
      <w:r w:rsidR="00E10F75">
        <w:t>K</w:t>
      </w:r>
      <w:r w:rsidRPr="00D70759">
        <w:t>oncepce</w:t>
      </w:r>
      <w:r w:rsidR="00E10F75">
        <w:t xml:space="preserve"> 22</w:t>
      </w:r>
      <w:r w:rsidRPr="00D70759">
        <w:t xml:space="preserve"> a zda je </w:t>
      </w:r>
      <w:r w:rsidR="00E10F75">
        <w:t>dokument</w:t>
      </w:r>
      <w:r w:rsidRPr="00D70759">
        <w:t xml:space="preserve"> v souladu s aktuálními trendy obranného výzkumu.</w:t>
      </w:r>
    </w:p>
    <w:p w:rsidR="00682066" w:rsidRDefault="00D70759" w:rsidP="00E10F75">
      <w:pPr>
        <w:pStyle w:val="Text"/>
        <w:ind w:left="0" w:firstLine="0"/>
      </w:pPr>
      <w:r>
        <w:t xml:space="preserve">Předložený dokument neobsahuje </w:t>
      </w:r>
      <w:r w:rsidR="00682066" w:rsidRPr="00637D93">
        <w:t>všechny náležitosti, které musí být podle Jednacího řádu součástí materiálu předkládaného na jednání vlády.</w:t>
      </w:r>
      <w:r w:rsidR="00682066">
        <w:t xml:space="preserve"> </w:t>
      </w:r>
    </w:p>
    <w:p w:rsidR="00E10F75" w:rsidRPr="00C353DD" w:rsidRDefault="00E10F75" w:rsidP="00C353DD">
      <w:pPr>
        <w:tabs>
          <w:tab w:val="left" w:pos="709"/>
        </w:tabs>
        <w:spacing w:after="120"/>
        <w:ind w:left="357"/>
        <w:jc w:val="both"/>
        <w:rPr>
          <w:rFonts w:ascii="Arial" w:hAnsi="Arial" w:cs="Arial"/>
          <w:b/>
        </w:rPr>
      </w:pPr>
      <w:r w:rsidRPr="00C353DD">
        <w:rPr>
          <w:rFonts w:ascii="Arial" w:hAnsi="Arial" w:cs="Arial"/>
          <w:b/>
        </w:rPr>
        <w:t>Doporučující připomínky:</w:t>
      </w:r>
    </w:p>
    <w:p w:rsidR="00E10F75" w:rsidRPr="00BC7DB9" w:rsidRDefault="00E10F75" w:rsidP="00E10F75">
      <w:pPr>
        <w:pStyle w:val="Odstavecseseznamem"/>
        <w:numPr>
          <w:ilvl w:val="0"/>
          <w:numId w:val="38"/>
        </w:numPr>
        <w:spacing w:after="120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Čá</w:t>
      </w:r>
      <w:r w:rsidRPr="00BC7DB9">
        <w:rPr>
          <w:rFonts w:ascii="Arial" w:hAnsi="Arial" w:cs="Arial"/>
        </w:rPr>
        <w:t xml:space="preserve">st 3 Hodnocení institucionální podpory by bylo vhodné </w:t>
      </w:r>
      <w:r>
        <w:rPr>
          <w:rFonts w:ascii="Arial" w:hAnsi="Arial" w:cs="Arial"/>
        </w:rPr>
        <w:t>doplnit o informaci o </w:t>
      </w:r>
      <w:r w:rsidRPr="00BC7DB9">
        <w:rPr>
          <w:rFonts w:ascii="Arial" w:hAnsi="Arial" w:cs="Arial"/>
        </w:rPr>
        <w:t>zavedení Metodiky2017+</w:t>
      </w:r>
      <w:r>
        <w:rPr>
          <w:rFonts w:ascii="Arial" w:hAnsi="Arial" w:cs="Arial"/>
        </w:rPr>
        <w:t xml:space="preserve">, zejména, jaké MO sleduje či očekává vlivy ve změně </w:t>
      </w:r>
      <w:r>
        <w:rPr>
          <w:rFonts w:ascii="Arial" w:hAnsi="Arial" w:cs="Arial"/>
        </w:rPr>
        <w:lastRenderedPageBreak/>
        <w:t xml:space="preserve">hodnocení, dále by bylo možné v rámci </w:t>
      </w:r>
      <w:r w:rsidR="00FA600A">
        <w:rPr>
          <w:rFonts w:ascii="Arial" w:hAnsi="Arial" w:cs="Arial"/>
        </w:rPr>
        <w:t xml:space="preserve">Části 3 Hodnocení </w:t>
      </w:r>
      <w:r>
        <w:rPr>
          <w:rFonts w:ascii="Arial" w:hAnsi="Arial" w:cs="Arial"/>
        </w:rPr>
        <w:t>institucionální podpory podrobněji rozebrat její složky jako je podpora na dlouhodobý koncepční rozvoj výzkumných organizací a specifický vysokoškolský výzkum</w:t>
      </w:r>
      <w:r w:rsidR="009376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E10F75" w:rsidRDefault="00E10F75" w:rsidP="00E10F75">
      <w:pPr>
        <w:pStyle w:val="Odstavecseseznamem"/>
        <w:numPr>
          <w:ilvl w:val="0"/>
          <w:numId w:val="38"/>
        </w:numPr>
        <w:spacing w:after="120"/>
        <w:ind w:left="0" w:firstLine="0"/>
        <w:contextualSpacing w:val="0"/>
        <w:jc w:val="both"/>
        <w:rPr>
          <w:rFonts w:ascii="Arial" w:hAnsi="Arial" w:cs="Arial"/>
        </w:rPr>
      </w:pPr>
      <w:r w:rsidRPr="00BC7DB9">
        <w:rPr>
          <w:rFonts w:ascii="Arial" w:hAnsi="Arial" w:cs="Arial"/>
        </w:rPr>
        <w:t>Část 4 Hodnocení účelové podpory doporučujeme doplnit, jakým způsobem hodlá MO aplikovat Základní principy přípravy a hodnocení programů a skupin grantových projektů výzkumu, vývoje a inovací</w:t>
      </w:r>
      <w:r>
        <w:rPr>
          <w:rFonts w:ascii="Arial" w:hAnsi="Arial" w:cs="Arial"/>
        </w:rPr>
        <w:t>.</w:t>
      </w:r>
    </w:p>
    <w:p w:rsidR="00E10F75" w:rsidRDefault="00E10F75" w:rsidP="00E10F75">
      <w:pPr>
        <w:pStyle w:val="Text"/>
        <w:ind w:left="0" w:firstLine="0"/>
      </w:pPr>
      <w:r w:rsidRPr="00D70759">
        <w:t>Rada doporučuje ověřit relevanci výzkumných témat zejména těch, která nebyla do poloviny roku 2019 pokryta ze strany výzkumných organizací a</w:t>
      </w:r>
      <w:r>
        <w:t> </w:t>
      </w:r>
      <w:r w:rsidRPr="00D70759">
        <w:t>nerelevantní témata upravit popř. nahradit novými.</w:t>
      </w:r>
    </w:p>
    <w:p w:rsidR="00E10F75" w:rsidRDefault="00E10F75" w:rsidP="00F66E6D">
      <w:pPr>
        <w:pStyle w:val="Text"/>
        <w:ind w:left="0" w:firstLine="0"/>
      </w:pPr>
      <w:r>
        <w:t xml:space="preserve">Doporučuje, aby v rámci závěrečného hodnocení Koncepce 22 </w:t>
      </w:r>
      <w:r w:rsidRPr="00E10F75">
        <w:t>MO provedlo dotazníkové šetření na úrovni příjemců (popř. i dalších účastníků programů účelové podpory) a závěry porovnalo s odbornými názory zástupců resortu odpovědných za realizaci Koncepce</w:t>
      </w:r>
      <w:r w:rsidR="009376EC">
        <w:t xml:space="preserve"> 22</w:t>
      </w:r>
      <w:r w:rsidRPr="00E10F75">
        <w:t xml:space="preserve">. </w:t>
      </w:r>
      <w:r w:rsidRPr="00FA600A">
        <w:t>Tímto šetřením a porovnáním bude prokázán pokrok u plánovaných aktivit a opatření.</w:t>
      </w:r>
    </w:p>
    <w:p w:rsidR="00FA600A" w:rsidRPr="00FA600A" w:rsidRDefault="00FA600A" w:rsidP="00FA600A">
      <w:pPr>
        <w:pStyle w:val="Text"/>
        <w:numPr>
          <w:ilvl w:val="0"/>
          <w:numId w:val="0"/>
        </w:numPr>
        <w:ind w:left="644" w:hanging="360"/>
      </w:pPr>
    </w:p>
    <w:p w:rsidR="00017DD9" w:rsidRPr="00682066" w:rsidRDefault="00BF1715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682066">
        <w:rPr>
          <w:rFonts w:ascii="Arial" w:hAnsi="Arial" w:cs="Arial"/>
          <w:b/>
          <w:color w:val="365F91" w:themeColor="accent1" w:themeShade="BF"/>
        </w:rPr>
        <w:t>Závěr</w:t>
      </w:r>
    </w:p>
    <w:p w:rsidR="00204358" w:rsidRPr="00682066" w:rsidRDefault="00204358" w:rsidP="00E10F75">
      <w:pPr>
        <w:pStyle w:val="Text"/>
        <w:numPr>
          <w:ilvl w:val="0"/>
          <w:numId w:val="0"/>
        </w:numPr>
        <w:ind w:left="284"/>
      </w:pPr>
      <w:r w:rsidRPr="00682066">
        <w:t>Rada:</w:t>
      </w:r>
    </w:p>
    <w:p w:rsidR="00017DD9" w:rsidRPr="00682066" w:rsidRDefault="00017DD9" w:rsidP="00E10F75">
      <w:pPr>
        <w:pStyle w:val="Text"/>
        <w:numPr>
          <w:ilvl w:val="0"/>
          <w:numId w:val="24"/>
        </w:numPr>
      </w:pPr>
      <w:r w:rsidRPr="00682066">
        <w:t>schvaluje</w:t>
      </w:r>
      <w:r w:rsidR="00EE6075" w:rsidRPr="00682066">
        <w:t xml:space="preserve"> Stanovisko k</w:t>
      </w:r>
      <w:r w:rsidR="00204358" w:rsidRPr="00682066">
        <w:t> materiálu „</w:t>
      </w:r>
      <w:r w:rsidR="00682066" w:rsidRPr="00682066">
        <w:rPr>
          <w:color w:val="000000"/>
        </w:rPr>
        <w:t xml:space="preserve">Průběžné hodnocení </w:t>
      </w:r>
      <w:r w:rsidR="00682066" w:rsidRPr="00682066">
        <w:rPr>
          <w:iCs/>
          <w:color w:val="000000"/>
        </w:rPr>
        <w:t>Koncepce obranného aplikovaného výzkumu, vývoje a inovací na období 2016 – 2022“</w:t>
      </w:r>
      <w:r w:rsidR="00204358" w:rsidRPr="00682066">
        <w:t xml:space="preserve"> </w:t>
      </w:r>
      <w:r w:rsidR="00F250BE" w:rsidRPr="00682066">
        <w:t xml:space="preserve">a žádá </w:t>
      </w:r>
      <w:r w:rsidR="00682066" w:rsidRPr="00682066">
        <w:t>MO o zapracování</w:t>
      </w:r>
      <w:r w:rsidR="00F250BE" w:rsidRPr="00682066">
        <w:t xml:space="preserve"> </w:t>
      </w:r>
      <w:r w:rsidR="00B50F6D" w:rsidRPr="00682066">
        <w:t>připomínek</w:t>
      </w:r>
      <w:r w:rsidR="00204358" w:rsidRPr="00682066">
        <w:t xml:space="preserve"> </w:t>
      </w:r>
      <w:r w:rsidR="00682066" w:rsidRPr="00682066">
        <w:t xml:space="preserve">uvedených </w:t>
      </w:r>
      <w:r w:rsidR="00204358" w:rsidRPr="00682066">
        <w:t>v části V</w:t>
      </w:r>
      <w:r w:rsidR="002F2A28">
        <w:t>. S</w:t>
      </w:r>
      <w:r w:rsidR="00B50F6D" w:rsidRPr="00682066">
        <w:t>tanoviska</w:t>
      </w:r>
      <w:r w:rsidR="00204358" w:rsidRPr="00682066">
        <w:t>,</w:t>
      </w:r>
    </w:p>
    <w:p w:rsidR="00017DD9" w:rsidRPr="00682066" w:rsidRDefault="0018168A" w:rsidP="00E10F75">
      <w:pPr>
        <w:pStyle w:val="Text"/>
        <w:numPr>
          <w:ilvl w:val="0"/>
          <w:numId w:val="24"/>
        </w:numPr>
      </w:pPr>
      <w:r>
        <w:t xml:space="preserve">vzhledem k tomu, že </w:t>
      </w:r>
      <w:r w:rsidR="004E21C7">
        <w:t xml:space="preserve">dokument bude předkládán vládě pro informaci a nebude procházet meziresortním připomínkovým řízením, Rada </w:t>
      </w:r>
      <w:r w:rsidR="00017DD9" w:rsidRPr="00682066">
        <w:t>doporučuje</w:t>
      </w:r>
      <w:r w:rsidR="00682066" w:rsidRPr="00682066">
        <w:t xml:space="preserve">, aby MO dopracovaný dokument předložilo Radě pro informaci před jeho </w:t>
      </w:r>
      <w:r w:rsidR="0033451D" w:rsidRPr="00682066">
        <w:t xml:space="preserve">předložením </w:t>
      </w:r>
      <w:r w:rsidR="0033451D">
        <w:t>na</w:t>
      </w:r>
      <w:r w:rsidR="00682066" w:rsidRPr="00682066">
        <w:t xml:space="preserve"> jednání vlády.</w:t>
      </w:r>
    </w:p>
    <w:p w:rsidR="00017DD9" w:rsidRPr="009A06D2" w:rsidRDefault="00017DD9" w:rsidP="00E10F75">
      <w:pPr>
        <w:pStyle w:val="Text"/>
        <w:numPr>
          <w:ilvl w:val="0"/>
          <w:numId w:val="0"/>
        </w:numPr>
        <w:ind w:left="720"/>
        <w:rPr>
          <w:highlight w:val="yellow"/>
        </w:rPr>
      </w:pPr>
    </w:p>
    <w:p w:rsidR="00017DD9" w:rsidRDefault="00017DD9" w:rsidP="00EA5BEF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353DD">
        <w:rPr>
          <w:rFonts w:ascii="Arial" w:hAnsi="Arial" w:cs="Arial"/>
          <w:sz w:val="24"/>
          <w:szCs w:val="24"/>
        </w:rPr>
        <w:t xml:space="preserve">Praha, </w:t>
      </w:r>
      <w:r w:rsidR="00C353DD" w:rsidRPr="00C353DD">
        <w:rPr>
          <w:rFonts w:ascii="Arial" w:hAnsi="Arial" w:cs="Arial"/>
          <w:sz w:val="24"/>
          <w:szCs w:val="24"/>
        </w:rPr>
        <w:t>29</w:t>
      </w:r>
      <w:r w:rsidR="00363121" w:rsidRPr="00C353DD">
        <w:rPr>
          <w:rFonts w:ascii="Arial" w:hAnsi="Arial" w:cs="Arial"/>
          <w:sz w:val="24"/>
          <w:szCs w:val="24"/>
        </w:rPr>
        <w:t xml:space="preserve">. </w:t>
      </w:r>
      <w:r w:rsidR="00682066" w:rsidRPr="00C353DD">
        <w:rPr>
          <w:rFonts w:ascii="Arial" w:hAnsi="Arial" w:cs="Arial"/>
          <w:sz w:val="24"/>
          <w:szCs w:val="24"/>
        </w:rPr>
        <w:t>listopadu</w:t>
      </w:r>
      <w:r w:rsidR="00363121" w:rsidRPr="00C353DD">
        <w:rPr>
          <w:rFonts w:ascii="Arial" w:hAnsi="Arial" w:cs="Arial"/>
          <w:sz w:val="24"/>
          <w:szCs w:val="24"/>
        </w:rPr>
        <w:t xml:space="preserve"> 2019</w:t>
      </w:r>
    </w:p>
    <w:p w:rsidR="00075906" w:rsidRDefault="00075906" w:rsidP="00EA5BEF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075906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070" w:rsidRDefault="00752070" w:rsidP="008F77F6">
      <w:r>
        <w:separator/>
      </w:r>
    </w:p>
  </w:endnote>
  <w:endnote w:type="continuationSeparator" w:id="0">
    <w:p w:rsidR="00752070" w:rsidRDefault="0075207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-OneByteIdentity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EFD" w:rsidRDefault="00F84EF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1C1BCA" w:rsidP="001C1BCA">
    <w:pPr>
      <w:pStyle w:val="Zpat"/>
      <w:rPr>
        <w:rFonts w:ascii="Arial" w:hAnsi="Arial" w:cs="Arial"/>
        <w:sz w:val="18"/>
        <w:szCs w:val="18"/>
      </w:rPr>
    </w:pPr>
    <w:r w:rsidRPr="0018168A">
      <w:rPr>
        <w:rFonts w:ascii="Arial" w:hAnsi="Arial" w:cs="Arial"/>
        <w:sz w:val="16"/>
        <w:szCs w:val="16"/>
      </w:rPr>
      <w:t>Stanovisko Rady pro výzkum, vývoj a inovace k</w:t>
    </w:r>
    <w:r w:rsidR="00B50F6D" w:rsidRPr="0018168A">
      <w:rPr>
        <w:rFonts w:ascii="Arial" w:hAnsi="Arial" w:cs="Arial"/>
        <w:sz w:val="16"/>
        <w:szCs w:val="16"/>
      </w:rPr>
      <w:t> </w:t>
    </w:r>
    <w:r w:rsidR="00972647" w:rsidRPr="0018168A">
      <w:rPr>
        <w:rFonts w:ascii="Arial" w:eastAsiaTheme="minorHAnsi" w:hAnsi="Arial" w:cs="Arial"/>
        <w:color w:val="000000"/>
        <w:sz w:val="16"/>
        <w:szCs w:val="16"/>
        <w:lang w:eastAsia="en-US"/>
      </w:rPr>
      <w:t xml:space="preserve">Průběžnému hodnocení </w:t>
    </w:r>
    <w:r w:rsidR="00972647" w:rsidRPr="0018168A">
      <w:rPr>
        <w:rFonts w:ascii="Arial" w:eastAsiaTheme="minorHAnsi" w:hAnsi="Arial" w:cs="Arial"/>
        <w:iCs/>
        <w:color w:val="000000"/>
        <w:sz w:val="16"/>
        <w:szCs w:val="16"/>
        <w:lang w:eastAsia="en-US"/>
      </w:rPr>
      <w:t>Koncepce obranného aplikovaného výzkumu, vývoje a inovací na období 2016 – 2022</w:t>
    </w:r>
    <w:r w:rsidR="00972647" w:rsidRPr="009A06D2">
      <w:rPr>
        <w:rFonts w:ascii="Arial" w:eastAsiaTheme="minorHAnsi" w:hAnsi="Arial" w:cs="Arial"/>
        <w:iCs/>
        <w:color w:val="000000"/>
        <w:lang w:eastAsia="en-US"/>
      </w:rPr>
      <w:t xml:space="preserve"> 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84EFD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84EFD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84EFD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84EFD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070" w:rsidRDefault="00752070" w:rsidP="008F77F6">
      <w:r>
        <w:separator/>
      </w:r>
    </w:p>
  </w:footnote>
  <w:footnote w:type="continuationSeparator" w:id="0">
    <w:p w:rsidR="00752070" w:rsidRDefault="00752070" w:rsidP="008F77F6">
      <w:r>
        <w:continuationSeparator/>
      </w:r>
    </w:p>
  </w:footnote>
  <w:footnote w:id="1">
    <w:p w:rsidR="00A26D09" w:rsidRPr="0056785D" w:rsidRDefault="00A26D09" w:rsidP="0056785D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56785D">
        <w:rPr>
          <w:rFonts w:ascii="Arial" w:hAnsi="Arial" w:cs="Arial"/>
          <w:sz w:val="20"/>
          <w:szCs w:val="20"/>
        </w:rPr>
        <w:t xml:space="preserve">Závěrečné hodnocení programu Obranný aplikovaný výzkum, experimentální vývoj a inovace (2011 – 2017) bylo součástí materiálu </w:t>
      </w:r>
      <w:r w:rsidRPr="0056785D">
        <w:rPr>
          <w:rFonts w:ascii="Arial" w:hAnsi="Arial" w:cs="Arial"/>
          <w:bCs/>
          <w:sz w:val="20"/>
          <w:szCs w:val="20"/>
        </w:rPr>
        <w:t>Hodnocení výsledků programů výzkumu, vývoje a inovací ukončených</w:t>
      </w:r>
      <w:r w:rsidR="0056785D" w:rsidRPr="0056785D">
        <w:rPr>
          <w:rFonts w:ascii="Arial" w:hAnsi="Arial" w:cs="Arial"/>
          <w:bCs/>
          <w:sz w:val="20"/>
          <w:szCs w:val="20"/>
        </w:rPr>
        <w:t> </w:t>
      </w:r>
      <w:r w:rsidRPr="0056785D">
        <w:rPr>
          <w:rFonts w:ascii="Arial" w:hAnsi="Arial" w:cs="Arial"/>
          <w:bCs/>
          <w:sz w:val="20"/>
          <w:szCs w:val="20"/>
        </w:rPr>
        <w:t>v roce 2017, který byl schválen usnesením vlády</w:t>
      </w:r>
      <w:r w:rsidRPr="0056785D">
        <w:rPr>
          <w:rFonts w:ascii="Arial" w:hAnsi="Arial" w:cs="Arial"/>
          <w:sz w:val="20"/>
          <w:szCs w:val="20"/>
        </w:rPr>
        <w:t xml:space="preserve"> ze dne 22. července 2019 č. 526</w:t>
      </w:r>
    </w:p>
    <w:p w:rsidR="00A26D09" w:rsidRPr="0056785D" w:rsidRDefault="00A26D09" w:rsidP="00A26D09">
      <w:pPr>
        <w:pStyle w:val="Textpoznpodarou"/>
        <w:rPr>
          <w:rFonts w:ascii="Arial" w:hAnsi="Arial" w:cs="Arial"/>
        </w:rPr>
      </w:pPr>
      <w:r w:rsidRPr="0056785D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EFD" w:rsidRDefault="00F84E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1FCD60E" wp14:editId="2BACA45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F84EF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728" behindDoc="0" locked="0" layoutInCell="1" allowOverlap="1" wp14:anchorId="4375D13F" wp14:editId="19E9440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3C2A8E" w:rsidRDefault="00482602" w:rsidP="009A06D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D0ADF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r w:rsidR="009A06D2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C353DD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C353DD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CC370F" w:rsidRDefault="00CC370F">
    <w:pPr>
      <w:pStyle w:val="Zhlav"/>
    </w:pPr>
  </w:p>
  <w:p w:rsidR="0023719A" w:rsidRDefault="0023719A">
    <w:pPr>
      <w:pStyle w:val="Zhlav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44943"/>
    <w:multiLevelType w:val="hybridMultilevel"/>
    <w:tmpl w:val="8468F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1699F"/>
    <w:multiLevelType w:val="hybridMultilevel"/>
    <w:tmpl w:val="AD18E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271FE"/>
    <w:multiLevelType w:val="hybridMultilevel"/>
    <w:tmpl w:val="BE44DA24"/>
    <w:lvl w:ilvl="0" w:tplc="8E945F7A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25D13"/>
    <w:multiLevelType w:val="hybridMultilevel"/>
    <w:tmpl w:val="CBB67DA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53D3A"/>
    <w:multiLevelType w:val="hybridMultilevel"/>
    <w:tmpl w:val="4AB431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7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C84F5C"/>
    <w:multiLevelType w:val="hybridMultilevel"/>
    <w:tmpl w:val="71F08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12">
    <w:nsid w:val="23DD07C4"/>
    <w:multiLevelType w:val="hybridMultilevel"/>
    <w:tmpl w:val="7674D292"/>
    <w:lvl w:ilvl="0" w:tplc="ADBA4A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2456B"/>
    <w:multiLevelType w:val="hybridMultilevel"/>
    <w:tmpl w:val="9D3C94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B66EF8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522FD"/>
    <w:multiLevelType w:val="hybridMultilevel"/>
    <w:tmpl w:val="17FC7A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4119D"/>
    <w:multiLevelType w:val="hybridMultilevel"/>
    <w:tmpl w:val="87B21DB8"/>
    <w:lvl w:ilvl="0" w:tplc="5C7C9478">
      <w:start w:val="1"/>
      <w:numFmt w:val="decimal"/>
      <w:lvlText w:val="A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957014"/>
    <w:multiLevelType w:val="hybridMultilevel"/>
    <w:tmpl w:val="6A3C0B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37B72F87"/>
    <w:multiLevelType w:val="hybridMultilevel"/>
    <w:tmpl w:val="48CACABE"/>
    <w:lvl w:ilvl="0" w:tplc="B7361C8A">
      <w:start w:val="5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NewRomanPS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FD3FA7"/>
    <w:multiLevelType w:val="hybridMultilevel"/>
    <w:tmpl w:val="D97616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A585893"/>
    <w:multiLevelType w:val="hybridMultilevel"/>
    <w:tmpl w:val="827663A8"/>
    <w:lvl w:ilvl="0" w:tplc="B7361C8A">
      <w:start w:val="5"/>
      <w:numFmt w:val="bullet"/>
      <w:lvlText w:val="-"/>
      <w:lvlJc w:val="left"/>
      <w:pPr>
        <w:ind w:left="780" w:hanging="360"/>
      </w:pPr>
      <w:rPr>
        <w:rFonts w:ascii="TimesNewRomanPSMT" w:eastAsia="TimesNewRomanPSMT" w:hAnsi="TimesNewRomanPSMT" w:cs="TimesNewRomanPSMT" w:hint="eastAsia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5C4D4EF0"/>
    <w:multiLevelType w:val="hybridMultilevel"/>
    <w:tmpl w:val="26805BA8"/>
    <w:lvl w:ilvl="0" w:tplc="C518E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3344AB"/>
    <w:multiLevelType w:val="hybridMultilevel"/>
    <w:tmpl w:val="A70642A0"/>
    <w:lvl w:ilvl="0" w:tplc="41E68946">
      <w:start w:val="1"/>
      <w:numFmt w:val="decimal"/>
      <w:pStyle w:val="Text"/>
      <w:lvlText w:val="%1)"/>
      <w:lvlJc w:val="left"/>
      <w:pPr>
        <w:ind w:left="64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DC33D6"/>
    <w:multiLevelType w:val="hybridMultilevel"/>
    <w:tmpl w:val="7088A4E4"/>
    <w:lvl w:ilvl="0" w:tplc="2FA4271A">
      <w:start w:val="1"/>
      <w:numFmt w:val="upperRoman"/>
      <w:pStyle w:val="Nadpis3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EA2DAD"/>
    <w:multiLevelType w:val="hybridMultilevel"/>
    <w:tmpl w:val="9B2C76B8"/>
    <w:lvl w:ilvl="0" w:tplc="D29C56A0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2133FE"/>
    <w:multiLevelType w:val="hybridMultilevel"/>
    <w:tmpl w:val="B28E63DE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2A85C43"/>
    <w:multiLevelType w:val="hybridMultilevel"/>
    <w:tmpl w:val="DA102356"/>
    <w:lvl w:ilvl="0" w:tplc="0E60E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5016A8"/>
    <w:multiLevelType w:val="hybridMultilevel"/>
    <w:tmpl w:val="E124A6BE"/>
    <w:lvl w:ilvl="0" w:tplc="8E945F7A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C1C90"/>
    <w:multiLevelType w:val="hybridMultilevel"/>
    <w:tmpl w:val="E38E6E00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021E5"/>
    <w:multiLevelType w:val="hybridMultilevel"/>
    <w:tmpl w:val="2D74050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8505D06"/>
    <w:multiLevelType w:val="hybridMultilevel"/>
    <w:tmpl w:val="CCFA3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8236A6"/>
    <w:multiLevelType w:val="hybridMultilevel"/>
    <w:tmpl w:val="0DC6B56A"/>
    <w:lvl w:ilvl="0" w:tplc="07220DA0">
      <w:start w:val="1"/>
      <w:numFmt w:val="upperRoman"/>
      <w:lvlText w:val="%1."/>
      <w:lvlJc w:val="left"/>
      <w:pPr>
        <w:ind w:left="1287" w:hanging="1003"/>
      </w:pPr>
      <w:rPr>
        <w:rFonts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31"/>
  </w:num>
  <w:num w:numId="7">
    <w:abstractNumId w:val="8"/>
  </w:num>
  <w:num w:numId="8">
    <w:abstractNumId w:val="18"/>
  </w:num>
  <w:num w:numId="9">
    <w:abstractNumId w:val="29"/>
  </w:num>
  <w:num w:numId="10">
    <w:abstractNumId w:val="28"/>
  </w:num>
  <w:num w:numId="11">
    <w:abstractNumId w:val="36"/>
  </w:num>
  <w:num w:numId="12">
    <w:abstractNumId w:val="10"/>
  </w:num>
  <w:num w:numId="13">
    <w:abstractNumId w:val="7"/>
  </w:num>
  <w:num w:numId="14">
    <w:abstractNumId w:val="6"/>
  </w:num>
  <w:num w:numId="15">
    <w:abstractNumId w:val="20"/>
  </w:num>
  <w:num w:numId="16">
    <w:abstractNumId w:val="16"/>
  </w:num>
  <w:num w:numId="17">
    <w:abstractNumId w:val="12"/>
  </w:num>
  <w:num w:numId="18">
    <w:abstractNumId w:val="5"/>
  </w:num>
  <w:num w:numId="19">
    <w:abstractNumId w:val="15"/>
  </w:num>
  <w:num w:numId="20">
    <w:abstractNumId w:val="21"/>
  </w:num>
  <w:num w:numId="21">
    <w:abstractNumId w:val="14"/>
  </w:num>
  <w:num w:numId="22">
    <w:abstractNumId w:val="33"/>
  </w:num>
  <w:num w:numId="23">
    <w:abstractNumId w:val="3"/>
  </w:num>
  <w:num w:numId="24">
    <w:abstractNumId w:val="1"/>
  </w:num>
  <w:num w:numId="25">
    <w:abstractNumId w:val="34"/>
  </w:num>
  <w:num w:numId="26">
    <w:abstractNumId w:val="38"/>
  </w:num>
  <w:num w:numId="27">
    <w:abstractNumId w:val="32"/>
  </w:num>
  <w:num w:numId="28">
    <w:abstractNumId w:val="24"/>
  </w:num>
  <w:num w:numId="29">
    <w:abstractNumId w:val="37"/>
  </w:num>
  <w:num w:numId="30">
    <w:abstractNumId w:val="4"/>
  </w:num>
  <w:num w:numId="31">
    <w:abstractNumId w:val="27"/>
  </w:num>
  <w:num w:numId="32">
    <w:abstractNumId w:val="13"/>
  </w:num>
  <w:num w:numId="33">
    <w:abstractNumId w:val="17"/>
  </w:num>
  <w:num w:numId="34">
    <w:abstractNumId w:val="2"/>
  </w:num>
  <w:num w:numId="35">
    <w:abstractNumId w:val="19"/>
  </w:num>
  <w:num w:numId="36">
    <w:abstractNumId w:val="23"/>
  </w:num>
  <w:num w:numId="37">
    <w:abstractNumId w:val="26"/>
    <w:lvlOverride w:ilvl="0">
      <w:startOverride w:val="1"/>
    </w:lvlOverride>
  </w:num>
  <w:num w:numId="38">
    <w:abstractNumId w:val="25"/>
  </w:num>
  <w:num w:numId="39">
    <w:abstractNumId w:val="9"/>
  </w:num>
  <w:num w:numId="40">
    <w:abstractNumId w:val="35"/>
  </w:num>
  <w:num w:numId="41">
    <w:abstractNumId w:val="30"/>
  </w:num>
  <w:num w:numId="42">
    <w:abstractNumId w:val="2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073"/>
    <w:rsid w:val="000121AC"/>
    <w:rsid w:val="0001755A"/>
    <w:rsid w:val="00017DD9"/>
    <w:rsid w:val="000207D9"/>
    <w:rsid w:val="00027A0F"/>
    <w:rsid w:val="00043330"/>
    <w:rsid w:val="000536DD"/>
    <w:rsid w:val="00057A10"/>
    <w:rsid w:val="00064903"/>
    <w:rsid w:val="000729A4"/>
    <w:rsid w:val="00073612"/>
    <w:rsid w:val="000743F7"/>
    <w:rsid w:val="00075906"/>
    <w:rsid w:val="000A07D2"/>
    <w:rsid w:val="000B67CE"/>
    <w:rsid w:val="000C4A33"/>
    <w:rsid w:val="000C7100"/>
    <w:rsid w:val="000C7E9B"/>
    <w:rsid w:val="000E33B8"/>
    <w:rsid w:val="000F1A68"/>
    <w:rsid w:val="000F23FD"/>
    <w:rsid w:val="000F4186"/>
    <w:rsid w:val="00106888"/>
    <w:rsid w:val="00116145"/>
    <w:rsid w:val="00122399"/>
    <w:rsid w:val="00135A08"/>
    <w:rsid w:val="00154A10"/>
    <w:rsid w:val="0016183E"/>
    <w:rsid w:val="00164360"/>
    <w:rsid w:val="0018168A"/>
    <w:rsid w:val="00183A39"/>
    <w:rsid w:val="001A571C"/>
    <w:rsid w:val="001A7212"/>
    <w:rsid w:val="001B0562"/>
    <w:rsid w:val="001B3B23"/>
    <w:rsid w:val="001B7E43"/>
    <w:rsid w:val="001C1BCA"/>
    <w:rsid w:val="001C761F"/>
    <w:rsid w:val="001D278E"/>
    <w:rsid w:val="001E42B7"/>
    <w:rsid w:val="001E518C"/>
    <w:rsid w:val="001F7313"/>
    <w:rsid w:val="00201426"/>
    <w:rsid w:val="00204358"/>
    <w:rsid w:val="002109AB"/>
    <w:rsid w:val="00221B0A"/>
    <w:rsid w:val="002271D1"/>
    <w:rsid w:val="00232F21"/>
    <w:rsid w:val="00234738"/>
    <w:rsid w:val="00237006"/>
    <w:rsid w:val="0023719A"/>
    <w:rsid w:val="002516F1"/>
    <w:rsid w:val="00265A36"/>
    <w:rsid w:val="00271B38"/>
    <w:rsid w:val="00296CCF"/>
    <w:rsid w:val="002A1361"/>
    <w:rsid w:val="002D045A"/>
    <w:rsid w:val="002D16B2"/>
    <w:rsid w:val="002E2591"/>
    <w:rsid w:val="002E5E00"/>
    <w:rsid w:val="002F1C51"/>
    <w:rsid w:val="002F2A28"/>
    <w:rsid w:val="00303892"/>
    <w:rsid w:val="00317CFF"/>
    <w:rsid w:val="00317E8E"/>
    <w:rsid w:val="00324CCA"/>
    <w:rsid w:val="00324CD0"/>
    <w:rsid w:val="0033451D"/>
    <w:rsid w:val="003348CA"/>
    <w:rsid w:val="003510B1"/>
    <w:rsid w:val="00360293"/>
    <w:rsid w:val="00363121"/>
    <w:rsid w:val="00367FC4"/>
    <w:rsid w:val="0038165B"/>
    <w:rsid w:val="00386056"/>
    <w:rsid w:val="00387B05"/>
    <w:rsid w:val="003A1350"/>
    <w:rsid w:val="003C0CF7"/>
    <w:rsid w:val="003C2A8E"/>
    <w:rsid w:val="003C40FE"/>
    <w:rsid w:val="003C6C94"/>
    <w:rsid w:val="003D64E8"/>
    <w:rsid w:val="003E2680"/>
    <w:rsid w:val="003F2EE0"/>
    <w:rsid w:val="003F42EF"/>
    <w:rsid w:val="0040167B"/>
    <w:rsid w:val="004039E8"/>
    <w:rsid w:val="0040468E"/>
    <w:rsid w:val="00410BDF"/>
    <w:rsid w:val="00426530"/>
    <w:rsid w:val="0043770E"/>
    <w:rsid w:val="00482602"/>
    <w:rsid w:val="00492346"/>
    <w:rsid w:val="004C6BBF"/>
    <w:rsid w:val="004D2D6C"/>
    <w:rsid w:val="004E21C7"/>
    <w:rsid w:val="0050397C"/>
    <w:rsid w:val="00503FF7"/>
    <w:rsid w:val="00504E2F"/>
    <w:rsid w:val="00505092"/>
    <w:rsid w:val="005120A6"/>
    <w:rsid w:val="00521FC3"/>
    <w:rsid w:val="0053276E"/>
    <w:rsid w:val="00555CBE"/>
    <w:rsid w:val="0056785D"/>
    <w:rsid w:val="00571676"/>
    <w:rsid w:val="00582E7B"/>
    <w:rsid w:val="005E43C2"/>
    <w:rsid w:val="005F4CD5"/>
    <w:rsid w:val="005F62F8"/>
    <w:rsid w:val="00604657"/>
    <w:rsid w:val="00606092"/>
    <w:rsid w:val="00610729"/>
    <w:rsid w:val="00616978"/>
    <w:rsid w:val="00623698"/>
    <w:rsid w:val="0062447C"/>
    <w:rsid w:val="00633674"/>
    <w:rsid w:val="00637852"/>
    <w:rsid w:val="00645780"/>
    <w:rsid w:val="00670BF1"/>
    <w:rsid w:val="006712AB"/>
    <w:rsid w:val="006768CD"/>
    <w:rsid w:val="006814F0"/>
    <w:rsid w:val="00682066"/>
    <w:rsid w:val="006B31DD"/>
    <w:rsid w:val="006B5231"/>
    <w:rsid w:val="006D08A3"/>
    <w:rsid w:val="006D3311"/>
    <w:rsid w:val="006D7A09"/>
    <w:rsid w:val="006E19C5"/>
    <w:rsid w:val="006E40D8"/>
    <w:rsid w:val="006E4D73"/>
    <w:rsid w:val="006E7D1F"/>
    <w:rsid w:val="006F43DD"/>
    <w:rsid w:val="00715F0F"/>
    <w:rsid w:val="00720790"/>
    <w:rsid w:val="00726E5C"/>
    <w:rsid w:val="007372BE"/>
    <w:rsid w:val="00745DDD"/>
    <w:rsid w:val="00752070"/>
    <w:rsid w:val="007639F4"/>
    <w:rsid w:val="00764701"/>
    <w:rsid w:val="007903EE"/>
    <w:rsid w:val="0079314D"/>
    <w:rsid w:val="007A1C5A"/>
    <w:rsid w:val="007A4AA7"/>
    <w:rsid w:val="007B0895"/>
    <w:rsid w:val="007B3550"/>
    <w:rsid w:val="007B4FAD"/>
    <w:rsid w:val="007C0FF6"/>
    <w:rsid w:val="007D583F"/>
    <w:rsid w:val="007D64A5"/>
    <w:rsid w:val="007D67D2"/>
    <w:rsid w:val="007E65F4"/>
    <w:rsid w:val="0080402F"/>
    <w:rsid w:val="00804537"/>
    <w:rsid w:val="00805B7B"/>
    <w:rsid w:val="00810AA0"/>
    <w:rsid w:val="00814778"/>
    <w:rsid w:val="00822E4B"/>
    <w:rsid w:val="00822F5B"/>
    <w:rsid w:val="008317FC"/>
    <w:rsid w:val="008349FB"/>
    <w:rsid w:val="0084795D"/>
    <w:rsid w:val="0086041D"/>
    <w:rsid w:val="00876F98"/>
    <w:rsid w:val="008866BC"/>
    <w:rsid w:val="008C59DD"/>
    <w:rsid w:val="008D0383"/>
    <w:rsid w:val="008D3C22"/>
    <w:rsid w:val="008F2B28"/>
    <w:rsid w:val="008F77F6"/>
    <w:rsid w:val="009035D5"/>
    <w:rsid w:val="009104E7"/>
    <w:rsid w:val="009252CC"/>
    <w:rsid w:val="009376EC"/>
    <w:rsid w:val="00940A91"/>
    <w:rsid w:val="0095777C"/>
    <w:rsid w:val="00957B2D"/>
    <w:rsid w:val="009656A7"/>
    <w:rsid w:val="00972647"/>
    <w:rsid w:val="009758E5"/>
    <w:rsid w:val="009A06D2"/>
    <w:rsid w:val="009A7A10"/>
    <w:rsid w:val="009F4B9D"/>
    <w:rsid w:val="00A122C8"/>
    <w:rsid w:val="00A15AB9"/>
    <w:rsid w:val="00A26D09"/>
    <w:rsid w:val="00A26FC2"/>
    <w:rsid w:val="00A325D1"/>
    <w:rsid w:val="00A33ED6"/>
    <w:rsid w:val="00A3472F"/>
    <w:rsid w:val="00A478E2"/>
    <w:rsid w:val="00A52008"/>
    <w:rsid w:val="00A53BEC"/>
    <w:rsid w:val="00A56451"/>
    <w:rsid w:val="00A82E18"/>
    <w:rsid w:val="00A92BF6"/>
    <w:rsid w:val="00A930C6"/>
    <w:rsid w:val="00A97A8C"/>
    <w:rsid w:val="00AA51AB"/>
    <w:rsid w:val="00AA6A69"/>
    <w:rsid w:val="00AD5458"/>
    <w:rsid w:val="00AD68D5"/>
    <w:rsid w:val="00AE772A"/>
    <w:rsid w:val="00AF2B87"/>
    <w:rsid w:val="00AF2F82"/>
    <w:rsid w:val="00AF3B9F"/>
    <w:rsid w:val="00B13D2C"/>
    <w:rsid w:val="00B16526"/>
    <w:rsid w:val="00B26656"/>
    <w:rsid w:val="00B36870"/>
    <w:rsid w:val="00B50F6D"/>
    <w:rsid w:val="00B71359"/>
    <w:rsid w:val="00B71BC8"/>
    <w:rsid w:val="00B761B1"/>
    <w:rsid w:val="00B849DD"/>
    <w:rsid w:val="00B84CD4"/>
    <w:rsid w:val="00B96973"/>
    <w:rsid w:val="00BA1C88"/>
    <w:rsid w:val="00BA29B0"/>
    <w:rsid w:val="00BA6EE3"/>
    <w:rsid w:val="00BB5454"/>
    <w:rsid w:val="00BC7DB9"/>
    <w:rsid w:val="00BD4813"/>
    <w:rsid w:val="00BD70D7"/>
    <w:rsid w:val="00BE104A"/>
    <w:rsid w:val="00BF1715"/>
    <w:rsid w:val="00C00444"/>
    <w:rsid w:val="00C353DD"/>
    <w:rsid w:val="00C50430"/>
    <w:rsid w:val="00C64A43"/>
    <w:rsid w:val="00C77C2F"/>
    <w:rsid w:val="00C9228C"/>
    <w:rsid w:val="00CA20B0"/>
    <w:rsid w:val="00CA361D"/>
    <w:rsid w:val="00CA61A2"/>
    <w:rsid w:val="00CA7480"/>
    <w:rsid w:val="00CB3603"/>
    <w:rsid w:val="00CC19CD"/>
    <w:rsid w:val="00CC1C39"/>
    <w:rsid w:val="00CC370F"/>
    <w:rsid w:val="00CD65DA"/>
    <w:rsid w:val="00CD72F6"/>
    <w:rsid w:val="00CE3E3D"/>
    <w:rsid w:val="00CE78F6"/>
    <w:rsid w:val="00CF0116"/>
    <w:rsid w:val="00CF4C80"/>
    <w:rsid w:val="00D06EA7"/>
    <w:rsid w:val="00D14902"/>
    <w:rsid w:val="00D268E2"/>
    <w:rsid w:val="00D34671"/>
    <w:rsid w:val="00D34C62"/>
    <w:rsid w:val="00D41A7D"/>
    <w:rsid w:val="00D51EB2"/>
    <w:rsid w:val="00D6000B"/>
    <w:rsid w:val="00D70759"/>
    <w:rsid w:val="00D92876"/>
    <w:rsid w:val="00DA61D7"/>
    <w:rsid w:val="00DB1404"/>
    <w:rsid w:val="00DB6827"/>
    <w:rsid w:val="00DC0512"/>
    <w:rsid w:val="00DC51D2"/>
    <w:rsid w:val="00DC5FE9"/>
    <w:rsid w:val="00DE2FDA"/>
    <w:rsid w:val="00DE77E9"/>
    <w:rsid w:val="00DF63AA"/>
    <w:rsid w:val="00DF7234"/>
    <w:rsid w:val="00E021D7"/>
    <w:rsid w:val="00E10F75"/>
    <w:rsid w:val="00E312EE"/>
    <w:rsid w:val="00E35758"/>
    <w:rsid w:val="00E70D66"/>
    <w:rsid w:val="00E7659E"/>
    <w:rsid w:val="00E82C93"/>
    <w:rsid w:val="00E86F61"/>
    <w:rsid w:val="00E87FCC"/>
    <w:rsid w:val="00E90863"/>
    <w:rsid w:val="00EA59F0"/>
    <w:rsid w:val="00EA5BEF"/>
    <w:rsid w:val="00EC73B9"/>
    <w:rsid w:val="00ED17C5"/>
    <w:rsid w:val="00EE4843"/>
    <w:rsid w:val="00EE6075"/>
    <w:rsid w:val="00F23417"/>
    <w:rsid w:val="00F250BE"/>
    <w:rsid w:val="00F4222F"/>
    <w:rsid w:val="00F425B7"/>
    <w:rsid w:val="00F56C61"/>
    <w:rsid w:val="00F61526"/>
    <w:rsid w:val="00F643B7"/>
    <w:rsid w:val="00F835D9"/>
    <w:rsid w:val="00F84EFD"/>
    <w:rsid w:val="00F85F64"/>
    <w:rsid w:val="00F87E48"/>
    <w:rsid w:val="00F96CDB"/>
    <w:rsid w:val="00FA600A"/>
    <w:rsid w:val="00FA77A9"/>
    <w:rsid w:val="00FB4178"/>
    <w:rsid w:val="00FC2608"/>
    <w:rsid w:val="00FD0ADF"/>
    <w:rsid w:val="00FD3F99"/>
    <w:rsid w:val="00FE6112"/>
    <w:rsid w:val="00FE67C5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A61D7"/>
    <w:pPr>
      <w:keepNext/>
      <w:keepLines/>
      <w:spacing w:before="240" w:after="120"/>
      <w:jc w:val="both"/>
      <w:outlineLvl w:val="0"/>
    </w:pPr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  <w:lang w:eastAsia="en-US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1C761F"/>
    <w:pPr>
      <w:keepNext/>
      <w:keepLines/>
      <w:numPr>
        <w:numId w:val="2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1C761F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A61D7"/>
    <w:pPr>
      <w:spacing w:after="100"/>
    </w:pPr>
  </w:style>
  <w:style w:type="paragraph" w:customStyle="1" w:styleId="Text">
    <w:name w:val="_Text"/>
    <w:basedOn w:val="Normln"/>
    <w:autoRedefine/>
    <w:qFormat/>
    <w:rsid w:val="00E10F75"/>
    <w:pPr>
      <w:numPr>
        <w:numId w:val="38"/>
      </w:num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DA61D7"/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656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656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656A7"/>
    <w:rPr>
      <w:vertAlign w:val="superscript"/>
    </w:r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C77C2F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C77C2F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C77C2F"/>
  </w:style>
  <w:style w:type="character" w:customStyle="1" w:styleId="Ukotvenpoznmkypodarou">
    <w:name w:val="Ukotvení poznámky pod čarou"/>
    <w:rsid w:val="00C77C2F"/>
    <w:rPr>
      <w:vertAlign w:val="superscript"/>
    </w:rPr>
  </w:style>
  <w:style w:type="paragraph" w:customStyle="1" w:styleId="Poznmkapodarou">
    <w:name w:val="Poznámka pod čarou"/>
    <w:basedOn w:val="Normln"/>
    <w:rsid w:val="00C77C2F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styleId="Zkladntext">
    <w:name w:val="Body Text"/>
    <w:basedOn w:val="Normln"/>
    <w:link w:val="ZkladntextChar1"/>
    <w:uiPriority w:val="99"/>
    <w:unhideWhenUsed/>
    <w:rsid w:val="00A82E18"/>
    <w:pPr>
      <w:spacing w:after="120"/>
    </w:pPr>
  </w:style>
  <w:style w:type="character" w:customStyle="1" w:styleId="ZkladntextChar1">
    <w:name w:val="Základní text Char1"/>
    <w:basedOn w:val="Standardnpsmoodstavce"/>
    <w:link w:val="Zkladntext"/>
    <w:uiPriority w:val="99"/>
    <w:rsid w:val="00A82E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odsazen">
    <w:name w:val="Normal odsazený"/>
    <w:basedOn w:val="Normln"/>
    <w:qFormat/>
    <w:rsid w:val="00682066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26D0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26D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A26D09"/>
    <w:rPr>
      <w:vertAlign w:val="superscript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A26D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A61D7"/>
    <w:pPr>
      <w:keepNext/>
      <w:keepLines/>
      <w:spacing w:before="240" w:after="120"/>
      <w:jc w:val="both"/>
      <w:outlineLvl w:val="0"/>
    </w:pPr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  <w:lang w:eastAsia="en-US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1C761F"/>
    <w:pPr>
      <w:keepNext/>
      <w:keepLines/>
      <w:numPr>
        <w:numId w:val="2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1C761F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A61D7"/>
    <w:pPr>
      <w:spacing w:after="100"/>
    </w:pPr>
  </w:style>
  <w:style w:type="paragraph" w:customStyle="1" w:styleId="Text">
    <w:name w:val="_Text"/>
    <w:basedOn w:val="Normln"/>
    <w:autoRedefine/>
    <w:qFormat/>
    <w:rsid w:val="00E10F75"/>
    <w:pPr>
      <w:numPr>
        <w:numId w:val="38"/>
      </w:num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DA61D7"/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656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656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656A7"/>
    <w:rPr>
      <w:vertAlign w:val="superscript"/>
    </w:r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C77C2F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C77C2F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C77C2F"/>
  </w:style>
  <w:style w:type="character" w:customStyle="1" w:styleId="Ukotvenpoznmkypodarou">
    <w:name w:val="Ukotvení poznámky pod čarou"/>
    <w:rsid w:val="00C77C2F"/>
    <w:rPr>
      <w:vertAlign w:val="superscript"/>
    </w:rPr>
  </w:style>
  <w:style w:type="paragraph" w:customStyle="1" w:styleId="Poznmkapodarou">
    <w:name w:val="Poznámka pod čarou"/>
    <w:basedOn w:val="Normln"/>
    <w:rsid w:val="00C77C2F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styleId="Zkladntext">
    <w:name w:val="Body Text"/>
    <w:basedOn w:val="Normln"/>
    <w:link w:val="ZkladntextChar1"/>
    <w:uiPriority w:val="99"/>
    <w:unhideWhenUsed/>
    <w:rsid w:val="00A82E18"/>
    <w:pPr>
      <w:spacing w:after="120"/>
    </w:pPr>
  </w:style>
  <w:style w:type="character" w:customStyle="1" w:styleId="ZkladntextChar1">
    <w:name w:val="Základní text Char1"/>
    <w:basedOn w:val="Standardnpsmoodstavce"/>
    <w:link w:val="Zkladntext"/>
    <w:uiPriority w:val="99"/>
    <w:rsid w:val="00A82E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odsazen">
    <w:name w:val="Normal odsazený"/>
    <w:basedOn w:val="Normln"/>
    <w:qFormat/>
    <w:rsid w:val="00682066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26D0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26D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A26D09"/>
    <w:rPr>
      <w:vertAlign w:val="superscript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A26D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D99E4-EADA-4D5F-BB83-5EFA5E0D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1148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</cp:revision>
  <cp:lastPrinted>2019-10-30T07:17:00Z</cp:lastPrinted>
  <dcterms:created xsi:type="dcterms:W3CDTF">2019-11-11T08:52:00Z</dcterms:created>
  <dcterms:modified xsi:type="dcterms:W3CDTF">2019-11-21T13:54:00Z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